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Anfrage zur Verkehrswertermittlung des Resthofs</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Adressat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Dipl.-Ing. Jürgen Kröger, Sachverständigenbüro Nordwert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Datum</w:t>
            </w:r>
          </w:p>
        </w:tc>
        <w:tc>
          <w:tcPr>
            <w:tcW w:type="dxa" w:w="4872"/>
            <w:vAlign w:val="center"/>
            <w:tcMar>
              <w:top w:w="90" w:type="dxa"/>
              <w:start w:w="100" w:type="dxa"/>
              <w:bottom w:w="90" w:type="dxa"/>
              <w:end w:w="100" w:type="dxa"/>
            </w:tcMar>
          </w:tcPr>
          <w:p>
            <w:pPr>
              <w:spacing w:after="30"/>
            </w:pPr>
            <w:r>
              <w:rPr>
                <w:rFonts w:ascii="Arial" w:hAnsi="Arial"/>
                <w:sz w:val="17"/>
              </w:rPr>
              <w:t>11.07.2026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Objekt</w:t>
            </w:r>
          </w:p>
        </w:tc>
        <w:tc>
          <w:tcPr>
            <w:tcW w:type="dxa" w:w="4872"/>
            <w:vAlign w:val="center"/>
            <w:tcMar>
              <w:top w:w="90" w:type="dxa"/>
              <w:start w:w="100" w:type="dxa"/>
              <w:bottom w:w="90" w:type="dxa"/>
              <w:end w:w="100" w:type="dxa"/>
            </w:tcMar>
            <w:shd w:fill="F2F4F5"/>
          </w:tcPr>
          <w:p>
            <w:pPr>
              <w:spacing w:after="30"/>
            </w:pPr>
            <w:r>
              <w:rPr>
                <w:rFonts w:ascii="Arial" w:hAnsi="Arial"/>
                <w:sz w:val="17"/>
              </w:rPr>
              <w:t>Dorfstraße 11, 21394 Kirchgellersen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Stichtage</w:t>
            </w:r>
          </w:p>
        </w:tc>
        <w:tc>
          <w:tcPr>
            <w:tcW w:type="dxa" w:w="4872"/>
            <w:vAlign w:val="center"/>
            <w:tcMar>
              <w:top w:w="90" w:type="dxa"/>
              <w:start w:w="100" w:type="dxa"/>
              <w:bottom w:w="90" w:type="dxa"/>
              <w:end w:w="100" w:type="dxa"/>
            </w:tcMar>
          </w:tcPr>
          <w:p>
            <w:pPr>
              <w:spacing w:after="30"/>
            </w:pPr>
            <w:r>
              <w:rPr>
                <w:rFonts w:ascii="Arial" w:hAnsi="Arial"/>
                <w:sz w:val="17"/>
              </w:rPr>
              <w:t>22.08.2019 und 18.05.2026</w:t>
            </w:r>
          </w:p>
        </w:tc>
      </w:tr>
    </w:tbl>
    <w:p/>
    <w:p>
      <w:pPr>
        <w:pStyle w:val="Heading1"/>
      </w:pPr>
      <w:r>
        <w:t>1. Auftragsskizze</w:t>
      </w:r>
    </w:p>
    <w:p>
      <w:pPr>
        <w:keepLines w:val="0"/>
      </w:pPr>
      <w:r>
        <w:t>Erbeten wird zunächst ein Kosten- und Zeitangebot für zwei stichtagsbezogene Verkehrswerte. Zu erfassen sind Wohnhaus, Scheune, ehemaliger Stall, Wiesen- und Obstflächen, mögliche baurechtliche Teilbarkeit und der jeweilige Instandhaltungszustand. Der Geschäftswert der Notarurkunde soll nicht ungeprüft als Verkehrswert verwendet werden.</w:t>
      </w:r>
    </w:p>
    <w:p>
      <w:pPr>
        <w:pStyle w:val="Heading1"/>
      </w:pPr>
      <w:r>
        <w:t>2. Rechte und Nutzungen</w:t>
      </w:r>
    </w:p>
    <w:p>
      <w:pPr>
        <w:keepLines w:val="0"/>
      </w:pPr>
      <w:r>
        <w:t>Bitte weisen Sie den Grundstückswert zunächst unbelastet aus und stellen Sie anschließend die tatsächlichen und urkundlichen Auswirkungen von Wohnungsrecht, Obstwiesennutzung, Scheunenpacht, Rückauflassungsvormerkung und Lastentragung transparent dar. Rechtliche Schlussfolgerungen zur Pflichtteilsergänzung werden nicht beauftragt.</w:t>
      </w:r>
    </w:p>
    <w:p>
      <w:pPr>
        <w:pStyle w:val="Heading1"/>
      </w:pPr>
      <w:r>
        <w:t>3. Beizuziehende Unterlagen</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Unterlage</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4872"/>
            <w:vAlign w:val="center"/>
            <w:tcMar>
              <w:top w:w="90" w:type="dxa"/>
              <w:start w:w="100" w:type="dxa"/>
              <w:bottom w:w="90" w:type="dxa"/>
              <w:end w:w="100" w:type="dxa"/>
            </w:tcMar>
          </w:tcPr>
          <w:p>
            <w:pPr>
              <w:spacing w:after="30"/>
            </w:pPr>
            <w:r>
              <w:rPr>
                <w:rFonts w:ascii="Arial" w:hAnsi="Arial"/>
                <w:sz w:val="17"/>
              </w:rPr>
              <w:t>Urkunde 811/2019</w:t>
            </w:r>
          </w:p>
        </w:tc>
        <w:tc>
          <w:tcPr>
            <w:tcW w:type="dxa" w:w="4872"/>
            <w:vAlign w:val="center"/>
            <w:tcMar>
              <w:top w:w="90" w:type="dxa"/>
              <w:start w:w="100" w:type="dxa"/>
              <w:bottom w:w="90" w:type="dxa"/>
              <w:end w:w="100" w:type="dxa"/>
            </w:tcMar>
          </w:tcPr>
          <w:p>
            <w:pPr>
              <w:spacing w:after="30"/>
            </w:pPr>
            <w:r>
              <w:rPr>
                <w:rFonts w:ascii="Arial" w:hAnsi="Arial"/>
                <w:sz w:val="17"/>
              </w:rPr>
              <w:t>vollständig</w:t>
            </w:r>
          </w:p>
        </w:tc>
      </w:tr>
      <w:tr>
        <w:tc>
          <w:tcPr>
            <w:tcW w:type="dxa" w:w="4872"/>
            <w:vAlign w:val="center"/>
            <w:tcMar>
              <w:top w:w="90" w:type="dxa"/>
              <w:start w:w="100" w:type="dxa"/>
              <w:bottom w:w="90" w:type="dxa"/>
              <w:end w:w="100" w:type="dxa"/>
            </w:tcMar>
            <w:shd w:fill="F2F4F5"/>
          </w:tcPr>
          <w:p>
            <w:pPr>
              <w:spacing w:after="30"/>
            </w:pPr>
            <w:r>
              <w:rPr>
                <w:rFonts w:ascii="Arial" w:hAnsi="Arial"/>
                <w:sz w:val="17"/>
              </w:rPr>
              <w:t>Grundbuch Blatt 812</w:t>
            </w:r>
          </w:p>
        </w:tc>
        <w:tc>
          <w:tcPr>
            <w:tcW w:type="dxa" w:w="4872"/>
            <w:vAlign w:val="center"/>
            <w:tcMar>
              <w:top w:w="90" w:type="dxa"/>
              <w:start w:w="100" w:type="dxa"/>
              <w:bottom w:w="90" w:type="dxa"/>
              <w:end w:w="100" w:type="dxa"/>
            </w:tcMar>
            <w:shd w:fill="F2F4F5"/>
          </w:tcPr>
          <w:p>
            <w:pPr>
              <w:spacing w:after="30"/>
            </w:pPr>
            <w:r>
              <w:rPr>
                <w:rFonts w:ascii="Arial" w:hAnsi="Arial"/>
                <w:sz w:val="17"/>
              </w:rPr>
              <w:t>aktuell; historischer Auszug angefordert</w:t>
            </w:r>
          </w:p>
        </w:tc>
      </w:tr>
      <w:tr>
        <w:tc>
          <w:tcPr>
            <w:tcW w:type="dxa" w:w="4872"/>
            <w:vAlign w:val="center"/>
            <w:tcMar>
              <w:top w:w="90" w:type="dxa"/>
              <w:start w:w="100" w:type="dxa"/>
              <w:bottom w:w="90" w:type="dxa"/>
              <w:end w:w="100" w:type="dxa"/>
            </w:tcMar>
          </w:tcPr>
          <w:p>
            <w:pPr>
              <w:spacing w:after="30"/>
            </w:pPr>
            <w:r>
              <w:rPr>
                <w:rFonts w:ascii="Arial" w:hAnsi="Arial"/>
                <w:sz w:val="17"/>
              </w:rPr>
              <w:t>Bauakte</w:t>
            </w:r>
          </w:p>
        </w:tc>
        <w:tc>
          <w:tcPr>
            <w:tcW w:type="dxa" w:w="4872"/>
            <w:vAlign w:val="center"/>
            <w:tcMar>
              <w:top w:w="90" w:type="dxa"/>
              <w:start w:w="100" w:type="dxa"/>
              <w:bottom w:w="90" w:type="dxa"/>
              <w:end w:w="100" w:type="dxa"/>
            </w:tcMar>
          </w:tcPr>
          <w:p>
            <w:pPr>
              <w:spacing w:after="30"/>
            </w:pPr>
            <w:r>
              <w:rPr>
                <w:rFonts w:ascii="Arial" w:hAnsi="Arial"/>
                <w:sz w:val="17"/>
              </w:rPr>
              <w:t>bei Samtgemeinde angefragt</w:t>
            </w:r>
          </w:p>
        </w:tc>
      </w:tr>
      <w:tr>
        <w:tc>
          <w:tcPr>
            <w:tcW w:type="dxa" w:w="4872"/>
            <w:vAlign w:val="center"/>
            <w:tcMar>
              <w:top w:w="90" w:type="dxa"/>
              <w:start w:w="100" w:type="dxa"/>
              <w:bottom w:w="90" w:type="dxa"/>
              <w:end w:w="100" w:type="dxa"/>
            </w:tcMar>
            <w:shd w:fill="F2F4F5"/>
          </w:tcPr>
          <w:p>
            <w:pPr>
              <w:spacing w:after="30"/>
            </w:pPr>
            <w:r>
              <w:rPr>
                <w:rFonts w:ascii="Arial" w:hAnsi="Arial"/>
                <w:sz w:val="17"/>
              </w:rPr>
              <w:t>Pachtvertrag Ackerflächen</w:t>
            </w:r>
          </w:p>
        </w:tc>
        <w:tc>
          <w:tcPr>
            <w:tcW w:type="dxa" w:w="4872"/>
            <w:vAlign w:val="center"/>
            <w:tcMar>
              <w:top w:w="90" w:type="dxa"/>
              <w:start w:w="100" w:type="dxa"/>
              <w:bottom w:w="90" w:type="dxa"/>
              <w:end w:w="100" w:type="dxa"/>
            </w:tcMar>
            <w:shd w:fill="F2F4F5"/>
          </w:tcPr>
          <w:p>
            <w:pPr>
              <w:spacing w:after="30"/>
            </w:pPr>
            <w:r>
              <w:rPr>
                <w:rFonts w:ascii="Arial" w:hAnsi="Arial"/>
                <w:sz w:val="17"/>
              </w:rPr>
              <w:t>Kopie vorhanden; Original beim Pächter</w:t>
            </w:r>
          </w:p>
        </w:tc>
      </w:tr>
      <w:tr>
        <w:tc>
          <w:tcPr>
            <w:tcW w:type="dxa" w:w="4872"/>
            <w:vAlign w:val="center"/>
            <w:tcMar>
              <w:top w:w="90" w:type="dxa"/>
              <w:start w:w="100" w:type="dxa"/>
              <w:bottom w:w="90" w:type="dxa"/>
              <w:end w:w="100" w:type="dxa"/>
            </w:tcMar>
          </w:tcPr>
          <w:p>
            <w:pPr>
              <w:spacing w:after="30"/>
            </w:pPr>
            <w:r>
              <w:rPr>
                <w:rFonts w:ascii="Arial" w:hAnsi="Arial"/>
                <w:sz w:val="17"/>
              </w:rPr>
              <w:t>Rechnungen Dach, Heizung, Elektrik</w:t>
            </w:r>
          </w:p>
        </w:tc>
        <w:tc>
          <w:tcPr>
            <w:tcW w:type="dxa" w:w="4872"/>
            <w:vAlign w:val="center"/>
            <w:tcMar>
              <w:top w:w="90" w:type="dxa"/>
              <w:start w:w="100" w:type="dxa"/>
              <w:bottom w:w="90" w:type="dxa"/>
              <w:end w:w="100" w:type="dxa"/>
            </w:tcMar>
          </w:tcPr>
          <w:p>
            <w:pPr>
              <w:spacing w:after="30"/>
            </w:pPr>
            <w:r>
              <w:rPr>
                <w:rFonts w:ascii="Arial" w:hAnsi="Arial"/>
                <w:sz w:val="17"/>
              </w:rPr>
              <w:t>teilweise</w:t>
            </w:r>
          </w:p>
        </w:tc>
      </w:tr>
      <w:tr>
        <w:tc>
          <w:tcPr>
            <w:tcW w:type="dxa" w:w="4872"/>
            <w:vAlign w:val="center"/>
            <w:tcMar>
              <w:top w:w="90" w:type="dxa"/>
              <w:start w:w="100" w:type="dxa"/>
              <w:bottom w:w="90" w:type="dxa"/>
              <w:end w:w="100" w:type="dxa"/>
            </w:tcMar>
            <w:shd w:fill="F2F4F5"/>
          </w:tcPr>
          <w:p>
            <w:pPr>
              <w:spacing w:after="30"/>
            </w:pPr>
            <w:r>
              <w:rPr>
                <w:rFonts w:ascii="Arial" w:hAnsi="Arial"/>
                <w:sz w:val="17"/>
              </w:rPr>
              <w:t>Bodenrichtwerte 2019 und 2026</w:t>
            </w:r>
          </w:p>
        </w:tc>
        <w:tc>
          <w:tcPr>
            <w:tcW w:type="dxa" w:w="4872"/>
            <w:vAlign w:val="center"/>
            <w:tcMar>
              <w:top w:w="90" w:type="dxa"/>
              <w:start w:w="100" w:type="dxa"/>
              <w:bottom w:w="90" w:type="dxa"/>
              <w:end w:w="100" w:type="dxa"/>
            </w:tcMar>
            <w:shd w:fill="F2F4F5"/>
          </w:tcPr>
          <w:p>
            <w:pPr>
              <w:spacing w:after="30"/>
            </w:pPr>
            <w:r>
              <w:rPr>
                <w:rFonts w:ascii="Arial" w:hAnsi="Arial"/>
                <w:sz w:val="17"/>
              </w:rPr>
              <w:t>vom Gutachter zu erheben</w:t>
            </w:r>
          </w:p>
        </w:tc>
      </w:tr>
    </w:tbl>
    <w:p>
      <w:pPr>
        <w:pStyle w:val="Heading1"/>
      </w:pPr>
      <w:r>
        <w:t>4. Ortstermin</w:t>
      </w:r>
    </w:p>
    <w:p>
      <w:pPr>
        <w:keepLines w:val="0"/>
      </w:pPr>
      <w:r>
        <w:t>Ein Termin soll mit zehn Kalendertagen Vorlauf angekündigt werden. Moritz und Alva sowie ihre Bevollmächtigten dürfen teilnehmen. Der Gutachter soll abweichende Angaben der Beteiligten protokollieren und keine unbelegten Pflege- oder Gegenleistungswerte in den Grundstückswert einrechnen.</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