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Nachtrag zu Wohnrecht, Pflege und Ackerpacht</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Eingang</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13.07.2026, 15:42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Übermittelt</w:t>
            </w:r>
          </w:p>
        </w:tc>
        <w:tc>
          <w:tcPr>
            <w:tcW w:type="dxa" w:w="4872"/>
            <w:vAlign w:val="center"/>
            <w:tcMar>
              <w:top w:w="90" w:type="dxa"/>
              <w:start w:w="100" w:type="dxa"/>
              <w:bottom w:w="90" w:type="dxa"/>
              <w:end w:w="100" w:type="dxa"/>
            </w:tcMar>
          </w:tcPr>
          <w:p>
            <w:pPr>
              <w:spacing w:after="30"/>
            </w:pPr>
            <w:r>
              <w:rPr>
                <w:rFonts w:ascii="Arial" w:hAnsi="Arial"/>
                <w:sz w:val="17"/>
              </w:rPr>
              <w:t>Rechtsanwältin Petra Ohlendorf für Alva Rieken</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Anlagen</w:t>
            </w:r>
          </w:p>
        </w:tc>
        <w:tc>
          <w:tcPr>
            <w:tcW w:type="dxa" w:w="4872"/>
            <w:vAlign w:val="center"/>
            <w:tcMar>
              <w:top w:w="90" w:type="dxa"/>
              <w:start w:w="100" w:type="dxa"/>
              <w:bottom w:w="90" w:type="dxa"/>
              <w:end w:w="100" w:type="dxa"/>
            </w:tcMar>
            <w:shd w:fill="F2F4F5"/>
          </w:tcPr>
          <w:p>
            <w:pPr>
              <w:spacing w:after="30"/>
            </w:pPr>
            <w:r>
              <w:rPr>
                <w:rFonts w:ascii="Arial" w:hAnsi="Arial"/>
                <w:sz w:val="17"/>
              </w:rPr>
              <w:t>Pachtvertrag, Pflegekalender, Heimschreiben, zwölf Zahlungsbelege</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Prüfstand</w:t>
            </w:r>
          </w:p>
        </w:tc>
        <w:tc>
          <w:tcPr>
            <w:tcW w:type="dxa" w:w="4872"/>
            <w:vAlign w:val="center"/>
            <w:tcMar>
              <w:top w:w="90" w:type="dxa"/>
              <w:start w:w="100" w:type="dxa"/>
              <w:bottom w:w="90" w:type="dxa"/>
              <w:end w:w="100" w:type="dxa"/>
            </w:tcMar>
          </w:tcPr>
          <w:p>
            <w:pPr>
              <w:spacing w:after="30"/>
            </w:pPr>
            <w:r>
              <w:rPr>
                <w:rFonts w:ascii="Arial" w:hAnsi="Arial"/>
                <w:sz w:val="17"/>
              </w:rPr>
              <w:t>Unterlagen inventarisiert, rechtliche Einordnung offen</w:t>
            </w:r>
          </w:p>
        </w:tc>
      </w:tr>
    </w:tbl>
    <w:p/>
    <w:p>
      <w:pPr>
        <w:pStyle w:val="Heading1"/>
      </w:pPr>
      <w:r>
        <w:t>1. Pachtvertrag</w:t>
      </w:r>
    </w:p>
    <w:p>
      <w:pPr>
        <w:keepLines w:val="0"/>
      </w:pPr>
      <w:r>
        <w:t>Vorgelegt wurde ein Vertrag vom 01.01.2020 über 1,6 Hektar Ackerfläche an Landwirt Torben Maaß. Vertragspartei auf Verpächterseite ist Alva Rieken; die Jahrespacht von 3840,00 EUR sollte laut handschriftlichem Zusatz bis zum Tod Helmut Riekens auf dessen Konto fließen. Bankbelege zeigen Zahlungen 2020 bis 2024 an Helmut, für 2025 jedoch an Alva.</w:t>
      </w:r>
    </w:p>
    <w:p>
      <w:pPr>
        <w:keepLines w:val="0"/>
      </w:pPr>
      <w:r>
        <w:t>Der Zusatz trägt die Kürzel HR und AR. Ob er bei Vertragsschluss oder später angebracht wurde, ist aus der Kopie nicht erkennbar. Das Original soll beim Pächter liegen.</w:t>
      </w:r>
    </w:p>
    <w:p>
      <w:pPr>
        <w:pStyle w:val="Heading1"/>
      </w:pPr>
      <w:r>
        <w:t>2. Pflege- und Betreuungszeiten</w:t>
      </w:r>
    </w:p>
    <w:p>
      <w:pPr>
        <w:keepLines w:val="0"/>
      </w:pPr>
      <w:r>
        <w:t>Alvas Kalender listet von November 2022 bis Mai 2026 insgesamt 864 Stunden. Enthalten sind Arztfahrten, Einkäufe, Reinigung, Behördenpost und Nachtbereitschaft. Mehrere Einträge überschneiden sich mit Leistungen des ambulanten Pflegediensts. Die Liste wurde am 02.06.2026 nachträglich in eine Tabelle übertragen; Originalkalender wurden nicht vorgelegt.</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val="true"/>
        </w:trPr>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Zeitraum</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Stunden Alva</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Pflegedienst</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Zahlungen Helmut</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Klärung</w:t>
            </w:r>
          </w:p>
        </w:tc>
      </w:tr>
      <w:tr>
        <w:tc>
          <w:tcPr>
            <w:tcW w:type="dxa" w:w="1949"/>
            <w:vAlign w:val="center"/>
            <w:tcMar>
              <w:top w:w="90" w:type="dxa"/>
              <w:start w:w="100" w:type="dxa"/>
              <w:bottom w:w="90" w:type="dxa"/>
              <w:end w:w="100" w:type="dxa"/>
            </w:tcMar>
          </w:tcPr>
          <w:p>
            <w:pPr>
              <w:spacing w:after="30"/>
            </w:pPr>
            <w:r>
              <w:rPr>
                <w:rFonts w:ascii="Arial" w:hAnsi="Arial"/>
                <w:sz w:val="17"/>
              </w:rPr>
              <w:t>11/2022–12/2023</w:t>
            </w:r>
          </w:p>
        </w:tc>
        <w:tc>
          <w:tcPr>
            <w:tcW w:type="dxa" w:w="1949"/>
            <w:vAlign w:val="center"/>
            <w:tcMar>
              <w:top w:w="90" w:type="dxa"/>
              <w:start w:w="100" w:type="dxa"/>
              <w:bottom w:w="90" w:type="dxa"/>
              <w:end w:w="100" w:type="dxa"/>
            </w:tcMar>
          </w:tcPr>
          <w:p>
            <w:pPr>
              <w:spacing w:after="30"/>
            </w:pPr>
            <w:r>
              <w:rPr>
                <w:rFonts w:ascii="Arial" w:hAnsi="Arial"/>
                <w:sz w:val="17"/>
              </w:rPr>
              <w:t>214</w:t>
            </w:r>
          </w:p>
        </w:tc>
        <w:tc>
          <w:tcPr>
            <w:tcW w:type="dxa" w:w="1949"/>
            <w:vAlign w:val="center"/>
            <w:tcMar>
              <w:top w:w="90" w:type="dxa"/>
              <w:start w:w="100" w:type="dxa"/>
              <w:bottom w:w="90" w:type="dxa"/>
              <w:end w:w="100" w:type="dxa"/>
            </w:tcMar>
          </w:tcPr>
          <w:p>
            <w:pPr>
              <w:spacing w:after="30"/>
            </w:pPr>
            <w:r>
              <w:rPr>
                <w:rFonts w:ascii="Arial" w:hAnsi="Arial"/>
                <w:sz w:val="17"/>
              </w:rPr>
              <w:t>ab 08/2023</w:t>
            </w:r>
          </w:p>
        </w:tc>
        <w:tc>
          <w:tcPr>
            <w:tcW w:type="dxa" w:w="1949"/>
            <w:vAlign w:val="center"/>
            <w:tcMar>
              <w:top w:w="90" w:type="dxa"/>
              <w:start w:w="100" w:type="dxa"/>
              <w:bottom w:w="90" w:type="dxa"/>
              <w:end w:w="100" w:type="dxa"/>
            </w:tcMar>
          </w:tcPr>
          <w:p>
            <w:pPr>
              <w:spacing w:after="30"/>
            </w:pPr>
            <w:r>
              <w:rPr>
                <w:rFonts w:ascii="Arial" w:hAnsi="Arial"/>
                <w:sz w:val="17"/>
              </w:rPr>
              <w:t>1800,00 EUR</w:t>
            </w:r>
          </w:p>
        </w:tc>
        <w:tc>
          <w:tcPr>
            <w:tcW w:type="dxa" w:w="1949"/>
            <w:vAlign w:val="center"/>
            <w:tcMar>
              <w:top w:w="90" w:type="dxa"/>
              <w:start w:w="100" w:type="dxa"/>
              <w:bottom w:w="90" w:type="dxa"/>
              <w:end w:w="100" w:type="dxa"/>
            </w:tcMar>
          </w:tcPr>
          <w:p>
            <w:pPr>
              <w:spacing w:after="30"/>
            </w:pPr>
            <w:r>
              <w:rPr>
                <w:rFonts w:ascii="Arial" w:hAnsi="Arial"/>
                <w:sz w:val="17"/>
              </w:rPr>
              <w:t>Familienbesuche abgrenzen</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01/2024–12/2024</w:t>
            </w:r>
          </w:p>
        </w:tc>
        <w:tc>
          <w:tcPr>
            <w:tcW w:type="dxa" w:w="1949"/>
            <w:vAlign w:val="center"/>
            <w:tcMar>
              <w:top w:w="90" w:type="dxa"/>
              <w:start w:w="100" w:type="dxa"/>
              <w:bottom w:w="90" w:type="dxa"/>
              <w:end w:w="100" w:type="dxa"/>
            </w:tcMar>
            <w:shd w:fill="F2F4F5"/>
          </w:tcPr>
          <w:p>
            <w:pPr>
              <w:spacing w:after="30"/>
            </w:pPr>
            <w:r>
              <w:rPr>
                <w:rFonts w:ascii="Arial" w:hAnsi="Arial"/>
                <w:sz w:val="17"/>
              </w:rPr>
              <w:t>326</w:t>
            </w:r>
          </w:p>
        </w:tc>
        <w:tc>
          <w:tcPr>
            <w:tcW w:type="dxa" w:w="1949"/>
            <w:vAlign w:val="center"/>
            <w:tcMar>
              <w:top w:w="90" w:type="dxa"/>
              <w:start w:w="100" w:type="dxa"/>
              <w:bottom w:w="90" w:type="dxa"/>
              <w:end w:w="100" w:type="dxa"/>
            </w:tcMar>
            <w:shd w:fill="F2F4F5"/>
          </w:tcPr>
          <w:p>
            <w:pPr>
              <w:spacing w:after="30"/>
            </w:pPr>
            <w:r>
              <w:rPr>
                <w:rFonts w:ascii="Arial" w:hAnsi="Arial"/>
                <w:sz w:val="17"/>
              </w:rPr>
              <w:t>2 Termine wöchentlich</w:t>
            </w:r>
          </w:p>
        </w:tc>
        <w:tc>
          <w:tcPr>
            <w:tcW w:type="dxa" w:w="1949"/>
            <w:vAlign w:val="center"/>
            <w:tcMar>
              <w:top w:w="90" w:type="dxa"/>
              <w:start w:w="100" w:type="dxa"/>
              <w:bottom w:w="90" w:type="dxa"/>
              <w:end w:w="100" w:type="dxa"/>
            </w:tcMar>
            <w:shd w:fill="F2F4F5"/>
          </w:tcPr>
          <w:p>
            <w:pPr>
              <w:spacing w:after="30"/>
            </w:pPr>
            <w:r>
              <w:rPr>
                <w:rFonts w:ascii="Arial" w:hAnsi="Arial"/>
                <w:sz w:val="17"/>
              </w:rPr>
              <w:t>3600,00 EUR</w:t>
            </w:r>
          </w:p>
        </w:tc>
        <w:tc>
          <w:tcPr>
            <w:tcW w:type="dxa" w:w="1949"/>
            <w:vAlign w:val="center"/>
            <w:tcMar>
              <w:top w:w="90" w:type="dxa"/>
              <w:start w:w="100" w:type="dxa"/>
              <w:bottom w:w="90" w:type="dxa"/>
              <w:end w:w="100" w:type="dxa"/>
            </w:tcMar>
            <w:shd w:fill="F2F4F5"/>
          </w:tcPr>
          <w:p>
            <w:pPr>
              <w:spacing w:after="30"/>
            </w:pPr>
            <w:r>
              <w:rPr>
                <w:rFonts w:ascii="Arial" w:hAnsi="Arial"/>
                <w:sz w:val="17"/>
              </w:rPr>
              <w:t>Doppelzeiten prüfen</w:t>
            </w:r>
          </w:p>
        </w:tc>
      </w:tr>
      <w:tr>
        <w:tc>
          <w:tcPr>
            <w:tcW w:type="dxa" w:w="1949"/>
            <w:vAlign w:val="center"/>
            <w:tcMar>
              <w:top w:w="90" w:type="dxa"/>
              <w:start w:w="100" w:type="dxa"/>
              <w:bottom w:w="90" w:type="dxa"/>
              <w:end w:w="100" w:type="dxa"/>
            </w:tcMar>
          </w:tcPr>
          <w:p>
            <w:pPr>
              <w:spacing w:after="30"/>
            </w:pPr>
            <w:r>
              <w:rPr>
                <w:rFonts w:ascii="Arial" w:hAnsi="Arial"/>
                <w:sz w:val="17"/>
              </w:rPr>
              <w:t>01/2025–18.05.2026</w:t>
            </w:r>
          </w:p>
        </w:tc>
        <w:tc>
          <w:tcPr>
            <w:tcW w:type="dxa" w:w="1949"/>
            <w:vAlign w:val="center"/>
            <w:tcMar>
              <w:top w:w="90" w:type="dxa"/>
              <w:start w:w="100" w:type="dxa"/>
              <w:bottom w:w="90" w:type="dxa"/>
              <w:end w:w="100" w:type="dxa"/>
            </w:tcMar>
          </w:tcPr>
          <w:p>
            <w:pPr>
              <w:spacing w:after="30"/>
            </w:pPr>
            <w:r>
              <w:rPr>
                <w:rFonts w:ascii="Arial" w:hAnsi="Arial"/>
                <w:sz w:val="17"/>
              </w:rPr>
              <w:t>324</w:t>
            </w:r>
          </w:p>
        </w:tc>
        <w:tc>
          <w:tcPr>
            <w:tcW w:type="dxa" w:w="1949"/>
            <w:vAlign w:val="center"/>
            <w:tcMar>
              <w:top w:w="90" w:type="dxa"/>
              <w:start w:w="100" w:type="dxa"/>
              <w:bottom w:w="90" w:type="dxa"/>
              <w:end w:w="100" w:type="dxa"/>
            </w:tcMar>
          </w:tcPr>
          <w:p>
            <w:pPr>
              <w:spacing w:after="30"/>
            </w:pPr>
            <w:r>
              <w:rPr>
                <w:rFonts w:ascii="Arial" w:hAnsi="Arial"/>
                <w:sz w:val="17"/>
              </w:rPr>
              <w:t>3 Termine wöchentlich</w:t>
            </w:r>
          </w:p>
        </w:tc>
        <w:tc>
          <w:tcPr>
            <w:tcW w:type="dxa" w:w="1949"/>
            <w:vAlign w:val="center"/>
            <w:tcMar>
              <w:top w:w="90" w:type="dxa"/>
              <w:start w:w="100" w:type="dxa"/>
              <w:bottom w:w="90" w:type="dxa"/>
              <w:end w:w="100" w:type="dxa"/>
            </w:tcMar>
          </w:tcPr>
          <w:p>
            <w:pPr>
              <w:spacing w:after="30"/>
            </w:pPr>
            <w:r>
              <w:rPr>
                <w:rFonts w:ascii="Arial" w:hAnsi="Arial"/>
                <w:sz w:val="17"/>
              </w:rPr>
              <w:t>4200,00 EUR</w:t>
            </w:r>
          </w:p>
        </w:tc>
        <w:tc>
          <w:tcPr>
            <w:tcW w:type="dxa" w:w="1949"/>
            <w:vAlign w:val="center"/>
            <w:tcMar>
              <w:top w:w="90" w:type="dxa"/>
              <w:start w:w="100" w:type="dxa"/>
              <w:bottom w:w="90" w:type="dxa"/>
              <w:end w:w="100" w:type="dxa"/>
            </w:tcMar>
          </w:tcPr>
          <w:p>
            <w:pPr>
              <w:spacing w:after="30"/>
            </w:pPr>
            <w:r>
              <w:rPr>
                <w:rFonts w:ascii="Arial" w:hAnsi="Arial"/>
                <w:sz w:val="17"/>
              </w:rPr>
              <w:t>Nachtbereitschaft belegen</w:t>
            </w:r>
          </w:p>
        </w:tc>
      </w:tr>
    </w:tbl>
    <w:p>
      <w:pPr>
        <w:pStyle w:val="Heading1"/>
      </w:pPr>
      <w:r>
        <w:t>3. Pflegeheimschreiben</w:t>
      </w:r>
    </w:p>
    <w:p>
      <w:pPr>
        <w:keepLines w:val="0"/>
      </w:pPr>
      <w:r>
        <w:t>Das Pflegeheim Am Ilmenauufer bestätigt eine Kurzzeitpflege vom 04.02. bis 01.03.2026. Alva besuchte Helmut laut Besuchsliste achtmal und brachte Wäsche. Das Schreiben trifft keine Aussage zu einem Vergütungsanspruch. Die Heimrechnung über 2864,70 EUR wurde teilweise von der Pflegekasse und teilweise vom Konto Helmut bezahlt.</w:t>
      </w:r>
    </w:p>
    <w:p>
      <w:pPr>
        <w:pStyle w:val="Heading1"/>
      </w:pPr>
      <w:r>
        <w:t>4. Arbeitsfragen</w:t>
      </w:r>
    </w:p>
    <w:p>
      <w:pPr>
        <w:keepLines w:val="0"/>
      </w:pPr>
      <w:r>
        <w:t>Für jede Zahlung und Leistung sind Zeitraum, tatsächlicher Empfänger, Rechtsgrund, bereits erfolgte Erstattung und Zusammenhang mit der Hofübertragung zu erfassen. Pacht, Pflege, Unterhalt und familiäre Hilfe werden nicht pauschal saldiert. Der Nachtrag enthält keine Berechnung eines Pflichtteils oder Ergänzungsanspruchs.</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Svenja Kalkhorst, Rechtsanwältin und Fachanwältin für Erbrecht | Anderkonto DE73 2405 0110 0019 8850 04 | BIC NOLADE21LBG | St.-Nr. 33/219/07162 | Berufshaftpflicht: JurAssekuranz AG, Hannover</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Kalkhorst &amp; Severin Rechtsanwälte</w:t>
          </w:r>
        </w:p>
        <w:p>
          <w:pPr>
            <w:spacing w:after="0"/>
          </w:pPr>
          <w:r>
            <w:rPr>
              <w:color w:val="6B7378"/>
              <w:sz w:val="15"/>
            </w:rPr>
            <w:t>Erbrecht und Agrarvermögen | Am Berge 12 | 21335 Lüneburg</w:t>
          </w:r>
        </w:p>
      </w:tc>
      <w:tc>
        <w:tcPr>
          <w:tcW w:type="dxa" w:w="4706"/>
        </w:tcPr>
        <w:p>
          <w:pPr>
            <w:spacing w:after="20"/>
            <w:jc w:val="right"/>
          </w:pPr>
          <w:r>
            <w:rPr>
              <w:b/>
              <w:color w:val="17324D"/>
              <w:sz w:val="18"/>
            </w:rPr>
            <w:t>Nachlass Rieken</w:t>
          </w:r>
        </w:p>
        <w:p>
          <w:pPr>
            <w:spacing w:after="0"/>
            <w:jc w:val="right"/>
          </w:pPr>
          <w:r>
            <w:rPr>
              <w:color w:val="6B7378"/>
              <w:sz w:val="15"/>
            </w:rPr>
            <w:t>Aktenzeichen 224/26 K05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Kalkhorst &amp; Severin Rechtsanwälte</dc:creator>
  <cp:keywords/>
  <dc:description>generated by python-docx</dc:description>
  <cp:lastModifiedBy>Kalkhorst &amp; Severin Rechtsanwälte</cp:lastModifiedBy>
  <cp:revision>1</cp:revision>
  <dcterms:created xsi:type="dcterms:W3CDTF">2026-07-15T12:00:00Z</dcterms:created>
  <dcterms:modified xsi:type="dcterms:W3CDTF">2026-07-15T12:00:00Z</dcterms:modified>
  <cp:category/>
</cp:coreProperties>
</file>