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Vollmacht, Identitätsprüfung und Postausgang</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Mandantin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Anja Martensen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Vollmacht</w:t>
            </w:r>
          </w:p>
        </w:tc>
        <w:tc>
          <w:tcPr>
            <w:tcW w:type="dxa" w:w="4872"/>
            <w:vAlign w:val="center"/>
            <w:tcMar>
              <w:top w:w="90" w:type="dxa"/>
              <w:start w:w="100" w:type="dxa"/>
              <w:bottom w:w="90" w:type="dxa"/>
              <w:end w:w="100" w:type="dxa"/>
            </w:tcMar>
          </w:tcPr>
          <w:p>
            <w:pPr>
              <w:spacing w:after="30"/>
            </w:pPr>
            <w:r>
              <w:rPr>
                <w:rFonts w:ascii="Arial" w:hAnsi="Arial"/>
                <w:sz w:val="17"/>
              </w:rPr>
              <w:t>unterzeichnet 29.06.2026 um 10:41 Uhr</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Identität</w:t>
            </w:r>
          </w:p>
        </w:tc>
        <w:tc>
          <w:tcPr>
            <w:tcW w:type="dxa" w:w="4872"/>
            <w:vAlign w:val="center"/>
            <w:tcMar>
              <w:top w:w="90" w:type="dxa"/>
              <w:start w:w="100" w:type="dxa"/>
              <w:bottom w:w="90" w:type="dxa"/>
              <w:end w:w="100" w:type="dxa"/>
            </w:tcMar>
            <w:shd w:fill="F2F4F5"/>
          </w:tcPr>
          <w:p>
            <w:pPr>
              <w:spacing w:after="30"/>
            </w:pPr>
            <w:r>
              <w:rPr>
                <w:rFonts w:ascii="Arial" w:hAnsi="Arial"/>
                <w:sz w:val="17"/>
              </w:rPr>
              <w:t>Personalausweis im Original eingesehen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Aktenzeichen</w:t>
            </w:r>
          </w:p>
        </w:tc>
        <w:tc>
          <w:tcPr>
            <w:tcW w:type="dxa" w:w="4872"/>
            <w:vAlign w:val="center"/>
            <w:tcMar>
              <w:top w:w="90" w:type="dxa"/>
              <w:start w:w="100" w:type="dxa"/>
              <w:bottom w:w="90" w:type="dxa"/>
              <w:end w:w="100" w:type="dxa"/>
            </w:tcMar>
          </w:tcPr>
          <w:p>
            <w:pPr>
              <w:spacing w:after="30"/>
            </w:pPr>
            <w:r>
              <w:rPr>
                <w:rFonts w:ascii="Arial" w:hAnsi="Arial"/>
                <w:sz w:val="17"/>
              </w:rPr>
              <w:t>PMH/26-184 AM</w:t>
            </w:r>
          </w:p>
        </w:tc>
      </w:tr>
    </w:tbl>
    <w:p/>
    <w:p>
      <w:pPr>
        <w:pStyle w:val="Heading1"/>
      </w:pPr>
      <w:r>
        <w:t>1. Umfang der Vollmacht</w:t>
      </w:r>
    </w:p>
    <w:p>
      <w:pPr>
        <w:keepLines w:val="0"/>
      </w:pPr>
      <w:r>
        <w:t>Die Vollmacht umfasst Auskunft, Wertermittlung, Akteneinsicht und außergerichtliche Korrespondenz im Nachlass Helga Martensen. Vergleich, Empfang von Geld, Grundstücksverfügung und Beauftragung eines kostenpflichtigen Gutachtens bedürfen gesonderter Freigabe. Originale werden nur gegen Empfangsbestätigung herausgegeben.</w:t>
      </w:r>
    </w:p>
    <w:p>
      <w:pPr>
        <w:pStyle w:val="Heading1"/>
      </w:pPr>
      <w:r>
        <w:t>2. Postausgang</w:t>
      </w:r>
    </w:p>
    <w:tbl>
      <w:tblPr>
        <w:tblStyle w:val="TableGrid"/>
        <w:tblW w:type="auto" w:w="0"/>
        <w:jc w:val="center"/>
        <w:tblLayout w:type="autofit"/>
        <w:tblLook w:firstColumn="1" w:firstRow="1" w:lastColumn="0" w:lastRow="0" w:noHBand="0" w:noVBand="1" w:val="04A0"/>
      </w:tblPr>
      <w:tblGrid>
        <w:gridCol w:w="1949"/>
        <w:gridCol w:w="1949"/>
        <w:gridCol w:w="1949"/>
        <w:gridCol w:w="1949"/>
        <w:gridCol w:w="1949"/>
      </w:tblGrid>
      <w:tr>
        <w:trPr>
          <w:tblHeader w:val="true"/>
        </w:trPr>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Datum / Uhrzeit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Empfänger</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Dokument</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Kanal</w:t>
            </w:r>
          </w:p>
        </w:tc>
        <w:tc>
          <w:tcPr>
            <w:tcW w:type="dxa" w:w="1949"/>
            <w:vAlign w:val="center"/>
            <w:tcMar>
              <w:top w:w="90" w:type="dxa"/>
              <w:start w:w="100" w:type="dxa"/>
              <w:bottom w:w="90" w:type="dxa"/>
              <w:end w:w="100" w:type="dxa"/>
            </w:tcMar>
            <w:shd w:fill="17324D"/>
          </w:tcPr>
          <w:p>
            <w:pPr>
              <w:spacing w:after="30"/>
            </w:pPr>
            <w:r>
              <w:rPr>
                <w:rFonts w:ascii="Arial" w:hAnsi="Arial"/>
                <w:b/>
                <w:color w:val="FFFFFF"/>
                <w:sz w:val="17"/>
              </w:rPr>
              <w:t>Nachweis</w:t>
            </w:r>
          </w:p>
        </w:tc>
      </w:tr>
      <w:tr>
        <w:tc>
          <w:tcPr>
            <w:tcW w:type="dxa" w:w="1949"/>
            <w:vAlign w:val="center"/>
            <w:tcMar>
              <w:top w:w="90" w:type="dxa"/>
              <w:start w:w="100" w:type="dxa"/>
              <w:bottom w:w="90" w:type="dxa"/>
              <w:end w:w="100" w:type="dxa"/>
            </w:tcMar>
          </w:tcPr>
          <w:p>
            <w:pPr>
              <w:spacing w:after="30"/>
            </w:pPr>
            <w:r>
              <w:rPr>
                <w:rFonts w:ascii="Arial" w:hAnsi="Arial"/>
                <w:sz w:val="17"/>
              </w:rPr>
              <w:t>30.06.2026, 14:22</w:t>
            </w:r>
          </w:p>
        </w:tc>
        <w:tc>
          <w:tcPr>
            <w:tcW w:type="dxa" w:w="1949"/>
            <w:vAlign w:val="center"/>
            <w:tcMar>
              <w:top w:w="90" w:type="dxa"/>
              <w:start w:w="100" w:type="dxa"/>
              <w:bottom w:w="90" w:type="dxa"/>
              <w:end w:w="100" w:type="dxa"/>
            </w:tcMar>
          </w:tcPr>
          <w:p>
            <w:pPr>
              <w:spacing w:after="30"/>
            </w:pPr>
            <w:r>
              <w:rPr>
                <w:rFonts w:ascii="Arial" w:hAnsi="Arial"/>
                <w:sz w:val="17"/>
              </w:rPr>
              <w:t>Kanzlei Thomsen</w:t>
            </w:r>
          </w:p>
        </w:tc>
        <w:tc>
          <w:tcPr>
            <w:tcW w:type="dxa" w:w="1949"/>
            <w:vAlign w:val="center"/>
            <w:tcMar>
              <w:top w:w="90" w:type="dxa"/>
              <w:start w:w="100" w:type="dxa"/>
              <w:bottom w:w="90" w:type="dxa"/>
              <w:end w:w="100" w:type="dxa"/>
            </w:tcMar>
          </w:tcPr>
          <w:p>
            <w:pPr>
              <w:spacing w:after="30"/>
            </w:pPr>
            <w:r>
              <w:rPr>
                <w:rFonts w:ascii="Arial" w:hAnsi="Arial"/>
                <w:sz w:val="17"/>
              </w:rPr>
              <w:t>Mandatsanzeige und Auskunft</w:t>
            </w:r>
          </w:p>
        </w:tc>
        <w:tc>
          <w:tcPr>
            <w:tcW w:type="dxa" w:w="1949"/>
            <w:vAlign w:val="center"/>
            <w:tcMar>
              <w:top w:w="90" w:type="dxa"/>
              <w:start w:w="100" w:type="dxa"/>
              <w:bottom w:w="90" w:type="dxa"/>
              <w:end w:w="100" w:type="dxa"/>
            </w:tcMar>
          </w:tcPr>
          <w:p>
            <w:pPr>
              <w:spacing w:after="30"/>
            </w:pPr>
            <w:r>
              <w:rPr>
                <w:rFonts w:ascii="Arial" w:hAnsi="Arial"/>
                <w:sz w:val="17"/>
              </w:rPr>
              <w:t>beA</w:t>
            </w:r>
          </w:p>
        </w:tc>
        <w:tc>
          <w:tcPr>
            <w:tcW w:type="dxa" w:w="1949"/>
            <w:vAlign w:val="center"/>
            <w:tcMar>
              <w:top w:w="90" w:type="dxa"/>
              <w:start w:w="100" w:type="dxa"/>
              <w:bottom w:w="90" w:type="dxa"/>
              <w:end w:w="100" w:type="dxa"/>
            </w:tcMar>
          </w:tcPr>
          <w:p>
            <w:pPr>
              <w:spacing w:after="30"/>
            </w:pPr>
            <w:r>
              <w:rPr>
                <w:rFonts w:ascii="Arial" w:hAnsi="Arial"/>
                <w:sz w:val="17"/>
              </w:rPr>
              <w:t>Eingang 14:25</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01.07.2026, 09:31</w:t>
            </w:r>
          </w:p>
        </w:tc>
        <w:tc>
          <w:tcPr>
            <w:tcW w:type="dxa" w:w="1949"/>
            <w:vAlign w:val="center"/>
            <w:tcMar>
              <w:top w:w="90" w:type="dxa"/>
              <w:start w:w="100" w:type="dxa"/>
              <w:bottom w:w="90" w:type="dxa"/>
              <w:end w:w="100" w:type="dxa"/>
            </w:tcMar>
            <w:shd w:fill="F2F4F5"/>
          </w:tcPr>
          <w:p>
            <w:pPr>
              <w:spacing w:after="30"/>
            </w:pPr>
            <w:r>
              <w:rPr>
                <w:rFonts w:ascii="Arial" w:hAnsi="Arial"/>
                <w:sz w:val="17"/>
              </w:rPr>
              <w:t>Notarin Behrends</w:t>
            </w:r>
          </w:p>
        </w:tc>
        <w:tc>
          <w:tcPr>
            <w:tcW w:type="dxa" w:w="1949"/>
            <w:vAlign w:val="center"/>
            <w:tcMar>
              <w:top w:w="90" w:type="dxa"/>
              <w:start w:w="100" w:type="dxa"/>
              <w:bottom w:w="90" w:type="dxa"/>
              <w:end w:w="100" w:type="dxa"/>
            </w:tcMar>
            <w:shd w:fill="F2F4F5"/>
          </w:tcPr>
          <w:p>
            <w:pPr>
              <w:spacing w:after="30"/>
            </w:pPr>
            <w:r>
              <w:rPr>
                <w:rFonts w:ascii="Arial" w:hAnsi="Arial"/>
                <w:sz w:val="17"/>
              </w:rPr>
              <w:t>Urkundenanforderung</w:t>
            </w:r>
          </w:p>
        </w:tc>
        <w:tc>
          <w:tcPr>
            <w:tcW w:type="dxa" w:w="1949"/>
            <w:vAlign w:val="center"/>
            <w:tcMar>
              <w:top w:w="90" w:type="dxa"/>
              <w:start w:w="100" w:type="dxa"/>
              <w:bottom w:w="90" w:type="dxa"/>
              <w:end w:w="100" w:type="dxa"/>
            </w:tcMar>
            <w:shd w:fill="F2F4F5"/>
          </w:tcPr>
          <w:p>
            <w:pPr>
              <w:spacing w:after="30"/>
            </w:pPr>
            <w:r>
              <w:rPr>
                <w:rFonts w:ascii="Arial" w:hAnsi="Arial"/>
                <w:sz w:val="17"/>
              </w:rPr>
              <w:t>beA</w:t>
            </w:r>
          </w:p>
        </w:tc>
        <w:tc>
          <w:tcPr>
            <w:tcW w:type="dxa" w:w="1949"/>
            <w:vAlign w:val="center"/>
            <w:tcMar>
              <w:top w:w="90" w:type="dxa"/>
              <w:start w:w="100" w:type="dxa"/>
              <w:bottom w:w="90" w:type="dxa"/>
              <w:end w:w="100" w:type="dxa"/>
            </w:tcMar>
            <w:shd w:fill="F2F4F5"/>
          </w:tcPr>
          <w:p>
            <w:pPr>
              <w:spacing w:after="30"/>
            </w:pPr>
            <w:r>
              <w:rPr>
                <w:rFonts w:ascii="Arial" w:hAnsi="Arial"/>
                <w:sz w:val="17"/>
              </w:rPr>
              <w:t>Vorgang UR 118/2018</w:t>
            </w:r>
          </w:p>
        </w:tc>
      </w:tr>
      <w:tr>
        <w:tc>
          <w:tcPr>
            <w:tcW w:type="dxa" w:w="1949"/>
            <w:vAlign w:val="center"/>
            <w:tcMar>
              <w:top w:w="90" w:type="dxa"/>
              <w:start w:w="100" w:type="dxa"/>
              <w:bottom w:w="90" w:type="dxa"/>
              <w:end w:w="100" w:type="dxa"/>
            </w:tcMar>
          </w:tcPr>
          <w:p>
            <w:pPr>
              <w:spacing w:after="30"/>
            </w:pPr>
            <w:r>
              <w:rPr>
                <w:rFonts w:ascii="Arial" w:hAnsi="Arial"/>
                <w:sz w:val="17"/>
              </w:rPr>
              <w:t>03.07.2026, 11:14</w:t>
            </w:r>
          </w:p>
        </w:tc>
        <w:tc>
          <w:tcPr>
            <w:tcW w:type="dxa" w:w="1949"/>
            <w:vAlign w:val="center"/>
            <w:tcMar>
              <w:top w:w="90" w:type="dxa"/>
              <w:start w:w="100" w:type="dxa"/>
              <w:bottom w:w="90" w:type="dxa"/>
              <w:end w:w="100" w:type="dxa"/>
            </w:tcMar>
          </w:tcPr>
          <w:p>
            <w:pPr>
              <w:spacing w:after="30"/>
            </w:pPr>
            <w:r>
              <w:rPr>
                <w:rFonts w:ascii="Arial" w:hAnsi="Arial"/>
                <w:sz w:val="17"/>
              </w:rPr>
              <w:t>Inselbank</w:t>
            </w:r>
          </w:p>
        </w:tc>
        <w:tc>
          <w:tcPr>
            <w:tcW w:type="dxa" w:w="1949"/>
            <w:vAlign w:val="center"/>
            <w:tcMar>
              <w:top w:w="90" w:type="dxa"/>
              <w:start w:w="100" w:type="dxa"/>
              <w:bottom w:w="90" w:type="dxa"/>
              <w:end w:w="100" w:type="dxa"/>
            </w:tcMar>
          </w:tcPr>
          <w:p>
            <w:pPr>
              <w:spacing w:after="30"/>
            </w:pPr>
            <w:r>
              <w:rPr>
                <w:rFonts w:ascii="Arial" w:hAnsi="Arial"/>
                <w:sz w:val="17"/>
              </w:rPr>
              <w:t>Freigaben und Fragen</w:t>
            </w:r>
          </w:p>
        </w:tc>
        <w:tc>
          <w:tcPr>
            <w:tcW w:type="dxa" w:w="1949"/>
            <w:vAlign w:val="center"/>
            <w:tcMar>
              <w:top w:w="90" w:type="dxa"/>
              <w:start w:w="100" w:type="dxa"/>
              <w:bottom w:w="90" w:type="dxa"/>
              <w:end w:w="100" w:type="dxa"/>
            </w:tcMar>
          </w:tcPr>
          <w:p>
            <w:pPr>
              <w:spacing w:after="30"/>
            </w:pPr>
            <w:r>
              <w:rPr>
                <w:rFonts w:ascii="Arial" w:hAnsi="Arial"/>
                <w:sz w:val="17"/>
              </w:rPr>
              <w:t>verschlüsselte E-Mail</w:t>
            </w:r>
          </w:p>
        </w:tc>
        <w:tc>
          <w:tcPr>
            <w:tcW w:type="dxa" w:w="1949"/>
            <w:vAlign w:val="center"/>
            <w:tcMar>
              <w:top w:w="90" w:type="dxa"/>
              <w:start w:w="100" w:type="dxa"/>
              <w:bottom w:w="90" w:type="dxa"/>
              <w:end w:w="100" w:type="dxa"/>
            </w:tcMar>
          </w:tcPr>
          <w:p>
            <w:pPr>
              <w:spacing w:after="30"/>
            </w:pPr>
            <w:r>
              <w:rPr>
                <w:rFonts w:ascii="Arial" w:hAnsi="Arial"/>
                <w:sz w:val="17"/>
              </w:rPr>
              <w:t>Empfang 11:18</w:t>
            </w:r>
          </w:p>
        </w:tc>
      </w:tr>
      <w:tr>
        <w:tc>
          <w:tcPr>
            <w:tcW w:type="dxa" w:w="1949"/>
            <w:vAlign w:val="center"/>
            <w:tcMar>
              <w:top w:w="90" w:type="dxa"/>
              <w:start w:w="100" w:type="dxa"/>
              <w:bottom w:w="90" w:type="dxa"/>
              <w:end w:w="100" w:type="dxa"/>
            </w:tcMar>
            <w:shd w:fill="F2F4F5"/>
          </w:tcPr>
          <w:p>
            <w:pPr>
              <w:spacing w:after="30"/>
            </w:pPr>
            <w:r>
              <w:rPr>
                <w:rFonts w:ascii="Arial" w:hAnsi="Arial"/>
                <w:sz w:val="17"/>
              </w:rPr>
              <w:t>08.07.2026, 16:03</w:t>
            </w:r>
          </w:p>
        </w:tc>
        <w:tc>
          <w:tcPr>
            <w:tcW w:type="dxa" w:w="1949"/>
            <w:vAlign w:val="center"/>
            <w:tcMar>
              <w:top w:w="90" w:type="dxa"/>
              <w:start w:w="100" w:type="dxa"/>
              <w:bottom w:w="90" w:type="dxa"/>
              <w:end w:w="100" w:type="dxa"/>
            </w:tcMar>
            <w:shd w:fill="F2F4F5"/>
          </w:tcPr>
          <w:p>
            <w:pPr>
              <w:spacing w:after="30"/>
            </w:pPr>
            <w:r>
              <w:rPr>
                <w:rFonts w:ascii="Arial" w:hAnsi="Arial"/>
                <w:sz w:val="17"/>
              </w:rPr>
              <w:t>Anja Martensen</w:t>
            </w:r>
          </w:p>
        </w:tc>
        <w:tc>
          <w:tcPr>
            <w:tcW w:type="dxa" w:w="1949"/>
            <w:vAlign w:val="center"/>
            <w:tcMar>
              <w:top w:w="90" w:type="dxa"/>
              <w:start w:w="100" w:type="dxa"/>
              <w:bottom w:w="90" w:type="dxa"/>
              <w:end w:w="100" w:type="dxa"/>
            </w:tcMar>
            <w:shd w:fill="F2F4F5"/>
          </w:tcPr>
          <w:p>
            <w:pPr>
              <w:spacing w:after="30"/>
            </w:pPr>
            <w:r>
              <w:rPr>
                <w:rFonts w:ascii="Arial" w:hAnsi="Arial"/>
                <w:sz w:val="17"/>
              </w:rPr>
              <w:t>Schreibenentwurf und Kostenhinweis</w:t>
            </w:r>
          </w:p>
        </w:tc>
        <w:tc>
          <w:tcPr>
            <w:tcW w:type="dxa" w:w="1949"/>
            <w:vAlign w:val="center"/>
            <w:tcMar>
              <w:top w:w="90" w:type="dxa"/>
              <w:start w:w="100" w:type="dxa"/>
              <w:bottom w:w="90" w:type="dxa"/>
              <w:end w:w="100" w:type="dxa"/>
            </w:tcMar>
            <w:shd w:fill="F2F4F5"/>
          </w:tcPr>
          <w:p>
            <w:pPr>
              <w:spacing w:after="30"/>
            </w:pPr>
            <w:r>
              <w:rPr>
                <w:rFonts w:ascii="Arial" w:hAnsi="Arial"/>
                <w:sz w:val="17"/>
              </w:rPr>
              <w:t>Mandantenportal</w:t>
            </w:r>
          </w:p>
        </w:tc>
        <w:tc>
          <w:tcPr>
            <w:tcW w:type="dxa" w:w="1949"/>
            <w:vAlign w:val="center"/>
            <w:tcMar>
              <w:top w:w="90" w:type="dxa"/>
              <w:start w:w="100" w:type="dxa"/>
              <w:bottom w:w="90" w:type="dxa"/>
              <w:end w:w="100" w:type="dxa"/>
            </w:tcMar>
            <w:shd w:fill="F2F4F5"/>
          </w:tcPr>
          <w:p>
            <w:pPr>
              <w:spacing w:after="30"/>
            </w:pPr>
            <w:r>
              <w:rPr>
                <w:rFonts w:ascii="Arial" w:hAnsi="Arial"/>
                <w:sz w:val="17"/>
              </w:rPr>
              <w:t>Abruf 16:39</w:t>
            </w:r>
          </w:p>
        </w:tc>
      </w:tr>
    </w:tbl>
    <w:p>
      <w:pPr>
        <w:pStyle w:val="Heading1"/>
      </w:pPr>
      <w:r>
        <w:t>3. Fristenkontrolle</w:t>
      </w:r>
    </w:p>
    <w:p>
      <w:pPr>
        <w:keepLines w:val="0"/>
      </w:pPr>
      <w:r>
        <w:t>Auskunftsfrist 31.07.2026 mit Vorfrist 24.07.2026. Angebot Sachverständiger Wiedervorlage 20.07.2026. Verjährungsblatt wird je Anspruchsgegner separat geführt; die Korrespondenz allein wird nicht als sichere Hemmung behandelt.</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Lea Petersen, Rechtsanwältin und Fachanwältin für Erbrecht | Anderkonto DE62 2175 0000 0091 4410 08 | BIC NOLADE21NOS | St.-Nr. 17/209/04681 | Berufshaftpflicht: NordAssekuranz AG, Kiel</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Petersen &amp; Hagedorn Rechtsanwälte</w:t>
          </w:r>
        </w:p>
        <w:p>
          <w:pPr>
            <w:spacing w:after="0"/>
          </w:pPr>
          <w:r>
            <w:rPr>
              <w:color w:val="6B7378"/>
              <w:sz w:val="15"/>
            </w:rPr>
            <w:t>Erbrecht und Vermögensnachfolge | Friedrichstraße 21 | 25980 Sylt</w:t>
          </w:r>
        </w:p>
      </w:tc>
      <w:tc>
        <w:tcPr>
          <w:tcW w:type="dxa" w:w="4706"/>
        </w:tcPr>
        <w:p>
          <w:pPr>
            <w:spacing w:after="20"/>
            <w:jc w:val="right"/>
          </w:pPr>
          <w:r>
            <w:rPr>
              <w:b/>
              <w:color w:val="17324D"/>
              <w:sz w:val="18"/>
            </w:rPr>
            <w:t>Nachlass Martensen</w:t>
          </w:r>
        </w:p>
        <w:p>
          <w:pPr>
            <w:spacing w:after="0"/>
            <w:jc w:val="right"/>
          </w:pPr>
          <w:r>
            <w:rPr>
              <w:color w:val="6B7378"/>
              <w:sz w:val="15"/>
            </w:rPr>
            <w:t>Aktenzeichen PMH/26-184 AM</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Petersen &amp; Hagedorn Rechtsanwälte</dc:creator>
  <cp:keywords/>
  <dc:description>generated by python-docx</dc:description>
  <cp:lastModifiedBy>Petersen &amp; Hagedorn Rechtsanwälte</cp:lastModifiedBy>
  <cp:revision>1</cp:revision>
  <dcterms:created xsi:type="dcterms:W3CDTF">2026-07-15T12:00:00Z</dcterms:created>
  <dcterms:modified xsi:type="dcterms:W3CDTF">2026-07-15T12:00:00Z</dcterms:modified>
  <cp:category/>
</cp:coreProperties>
</file>