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Niederschrift der Gesellschafterversammlung</w:t>
      </w:r>
    </w:p>
    <w:tbl>
      <w:tblPr>
        <w:tblStyle w:val="TableGrid"/>
        <w:tblW w:type="auto" w:w="0"/>
        <w:jc w:val="center"/>
        <w:tblLayout w:type="autofit"/>
        <w:tblLook w:firstColumn="1" w:firstRow="1" w:lastColumn="0" w:lastRow="0" w:noHBand="0" w:noVBand="1" w:val="04A0"/>
      </w:tblPr>
      <w:tblGrid>
        <w:gridCol w:w="4872"/>
        <w:gridCol w:w="4872"/>
      </w:tblGrid>
      <w:tr>
        <w:trPr>
          <w:tblHeader w:val="true"/>
        </w:trPr>
        <w:tc>
          <w:tcPr>
            <w:tcW w:type="dxa" w:w="4872"/>
            <w:shd w:fill="17324D"/>
            <w:vAlign w:val="center"/>
            <w:tcMar>
              <w:top w:w="90" w:type="dxa"/>
              <w:start w:w="100" w:type="dxa"/>
              <w:bottom w:w="90" w:type="dxa"/>
              <w:end w:w="100" w:type="dxa"/>
            </w:tcMar>
          </w:tcPr>
          <w:p>
            <w:pPr>
              <w:spacing w:after="30"/>
            </w:pPr>
            <w:r>
              <w:rPr>
                <w:rFonts w:ascii="Arial" w:hAnsi="Arial"/>
                <w:b/>
                <w:color w:val="FFFFFF"/>
                <w:sz w:val="17"/>
              </w:rPr>
              <w:t>Gesellschaft</w:t>
            </w:r>
          </w:p>
        </w:tc>
        <w:tc>
          <w:tcPr>
            <w:tcW w:type="dxa" w:w="4872"/>
            <w:vAlign w:val="center"/>
            <w:tcMar>
              <w:top w:w="90" w:type="dxa"/>
              <w:start w:w="100" w:type="dxa"/>
              <w:bottom w:w="90" w:type="dxa"/>
              <w:end w:w="100" w:type="dxa"/>
            </w:tcMar>
            <w:shd w:fill="17324D"/>
          </w:tcPr>
          <w:p>
            <w:pPr>
              <w:spacing w:after="30"/>
            </w:pPr>
            <w:r>
              <w:rPr>
                <w:rFonts w:ascii="Arial" w:hAnsi="Arial"/>
                <w:b/>
                <w:color w:val="FFFFFF"/>
                <w:sz w:val="17"/>
              </w:rPr>
              <w:t>Baumann Präzision GmbH, HRB 10482</w:t>
            </w:r>
          </w:p>
        </w:tc>
      </w:tr>
      <w:tr>
        <w:tc>
          <w:tcPr>
            <w:tcW w:type="dxa" w:w="4872"/>
            <w:shd w:fill="EAF1F5"/>
            <w:vAlign w:val="center"/>
            <w:tcMar>
              <w:top w:w="90" w:type="dxa"/>
              <w:start w:w="100" w:type="dxa"/>
              <w:bottom w:w="90" w:type="dxa"/>
              <w:end w:w="100" w:type="dxa"/>
            </w:tcMar>
          </w:tcPr>
          <w:p>
            <w:pPr>
              <w:spacing w:after="30"/>
            </w:pPr>
            <w:r>
              <w:rPr>
                <w:rFonts w:ascii="Arial" w:hAnsi="Arial"/>
                <w:b/>
                <w:color w:val="17324D"/>
                <w:sz w:val="17"/>
              </w:rPr>
              <w:t>Termin</w:t>
            </w:r>
          </w:p>
        </w:tc>
        <w:tc>
          <w:tcPr>
            <w:tcW w:type="dxa" w:w="4872"/>
            <w:vAlign w:val="center"/>
            <w:tcMar>
              <w:top w:w="90" w:type="dxa"/>
              <w:start w:w="100" w:type="dxa"/>
              <w:bottom w:w="90" w:type="dxa"/>
              <w:end w:w="100" w:type="dxa"/>
            </w:tcMar>
          </w:tcPr>
          <w:p>
            <w:pPr>
              <w:spacing w:after="30"/>
            </w:pPr>
            <w:r>
              <w:rPr>
                <w:rFonts w:ascii="Arial" w:hAnsi="Arial"/>
                <w:sz w:val="17"/>
              </w:rPr>
              <w:t>18.05.2026, 10:05 bis 12:18 Uhr</w:t>
            </w:r>
          </w:p>
        </w:tc>
      </w:tr>
      <w:tr>
        <w:tc>
          <w:tcPr>
            <w:tcW w:type="dxa" w:w="4872"/>
            <w:shd w:fill="F2F4F5"/>
            <w:vAlign w:val="center"/>
            <w:tcMar>
              <w:top w:w="90" w:type="dxa"/>
              <w:start w:w="100" w:type="dxa"/>
              <w:bottom w:w="90" w:type="dxa"/>
              <w:end w:w="100" w:type="dxa"/>
            </w:tcMar>
          </w:tcPr>
          <w:p>
            <w:pPr>
              <w:spacing w:after="30"/>
            </w:pPr>
            <w:r>
              <w:rPr>
                <w:rFonts w:ascii="Arial" w:hAnsi="Arial"/>
                <w:b/>
                <w:color w:val="17324D"/>
                <w:sz w:val="17"/>
              </w:rPr>
              <w:t>Ort</w:t>
            </w:r>
          </w:p>
        </w:tc>
        <w:tc>
          <w:tcPr>
            <w:tcW w:type="dxa" w:w="4872"/>
            <w:vAlign w:val="center"/>
            <w:tcMar>
              <w:top w:w="90" w:type="dxa"/>
              <w:start w:w="100" w:type="dxa"/>
              <w:bottom w:w="90" w:type="dxa"/>
              <w:end w:w="100" w:type="dxa"/>
            </w:tcMar>
            <w:shd w:fill="F2F4F5"/>
          </w:tcPr>
          <w:p>
            <w:pPr>
              <w:spacing w:after="30"/>
            </w:pPr>
            <w:r>
              <w:rPr>
                <w:rFonts w:ascii="Arial" w:hAnsi="Arial"/>
                <w:sz w:val="17"/>
              </w:rPr>
              <w:t>Werk 1, Besprechungsraum Main, Würzburg</w:t>
            </w:r>
          </w:p>
        </w:tc>
      </w:tr>
      <w:tr>
        <w:tc>
          <w:tcPr>
            <w:tcW w:type="dxa" w:w="4872"/>
            <w:shd w:fill="EAF1F5"/>
            <w:vAlign w:val="center"/>
            <w:tcMar>
              <w:top w:w="90" w:type="dxa"/>
              <w:start w:w="100" w:type="dxa"/>
              <w:bottom w:w="90" w:type="dxa"/>
              <w:end w:w="100" w:type="dxa"/>
            </w:tcMar>
          </w:tcPr>
          <w:p>
            <w:pPr>
              <w:spacing w:after="30"/>
            </w:pPr>
            <w:r>
              <w:rPr>
                <w:rFonts w:ascii="Arial" w:hAnsi="Arial"/>
                <w:b/>
                <w:color w:val="17324D"/>
                <w:sz w:val="17"/>
              </w:rPr>
              <w:t>Protokoll</w:t>
            </w:r>
          </w:p>
        </w:tc>
        <w:tc>
          <w:tcPr>
            <w:tcW w:type="dxa" w:w="4872"/>
            <w:vAlign w:val="center"/>
            <w:tcMar>
              <w:top w:w="90" w:type="dxa"/>
              <w:start w:w="100" w:type="dxa"/>
              <w:bottom w:w="90" w:type="dxa"/>
              <w:end w:w="100" w:type="dxa"/>
            </w:tcMar>
          </w:tcPr>
          <w:p>
            <w:pPr>
              <w:spacing w:after="30"/>
            </w:pPr>
            <w:r>
              <w:rPr>
                <w:rFonts w:ascii="Arial" w:hAnsi="Arial"/>
                <w:sz w:val="17"/>
              </w:rPr>
              <w:t>Notarin Dr. Eva Küppers; interne Mitschrift Lena Brück</w:t>
            </w:r>
          </w:p>
        </w:tc>
      </w:tr>
    </w:tbl>
    <w:p/>
    <w:p>
      <w:pPr>
        <w:pStyle w:val="Heading1"/>
      </w:pPr>
      <w:r>
        <w:t>1. Teilnehmer und Vertretung</w:t>
      </w:r>
    </w:p>
    <w:p>
      <w:pPr>
        <w:keepLines w:val="0"/>
      </w:pPr>
      <w:r>
        <w:t>Anwesend waren Mara Baumann für ihren Eigenanteil, Tilo Baumann, Dr. Fedor Lehnert unter Hinweis auf seine Amtsannahme sowie Geschäftsführer Tobias Kern. Dr. Lehnert legte Testament, Eröffnungsniederschrift und Annahmeerklärung vor; das Vollstreckerzeugnis war beantragt, aber noch nicht erteilt. Tilo widersprach einer vorbehaltlosen Anerkennung der Stimmrechtslage.</w:t>
      </w:r>
    </w:p>
    <w:p>
      <w:pPr>
        <w:pStyle w:val="Heading1"/>
      </w:pPr>
      <w:r>
        <w:t>2. Tagesordnung</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rPr>
          <w:tblHeader w:val="true"/>
        </w:trPr>
        <w:tc>
          <w:tcPr>
            <w:tcW w:type="dxa" w:w="2436"/>
            <w:vAlign w:val="center"/>
            <w:tcMar>
              <w:top w:w="90" w:type="dxa"/>
              <w:start w:w="100" w:type="dxa"/>
              <w:bottom w:w="90" w:type="dxa"/>
              <w:end w:w="100" w:type="dxa"/>
            </w:tcMar>
            <w:shd w:fill="17324D"/>
          </w:tcPr>
          <w:p>
            <w:pPr>
              <w:spacing w:after="30"/>
            </w:pPr>
            <w:r>
              <w:rPr>
                <w:rFonts w:ascii="Arial" w:hAnsi="Arial"/>
                <w:b/>
                <w:color w:val="FFFFFF"/>
                <w:sz w:val="17"/>
              </w:rPr>
              <w:t>TOP</w:t>
            </w:r>
          </w:p>
        </w:tc>
        <w:tc>
          <w:tcPr>
            <w:tcW w:type="dxa" w:w="2436"/>
            <w:vAlign w:val="center"/>
            <w:tcMar>
              <w:top w:w="90" w:type="dxa"/>
              <w:start w:w="100" w:type="dxa"/>
              <w:bottom w:w="90" w:type="dxa"/>
              <w:end w:w="100" w:type="dxa"/>
            </w:tcMar>
            <w:shd w:fill="17324D"/>
          </w:tcPr>
          <w:p>
            <w:pPr>
              <w:spacing w:after="30"/>
            </w:pPr>
            <w:r>
              <w:rPr>
                <w:rFonts w:ascii="Arial" w:hAnsi="Arial"/>
                <w:b/>
                <w:color w:val="FFFFFF"/>
                <w:sz w:val="17"/>
              </w:rPr>
              <w:t>Gegenstand</w:t>
            </w:r>
          </w:p>
        </w:tc>
        <w:tc>
          <w:tcPr>
            <w:tcW w:type="dxa" w:w="2436"/>
            <w:vAlign w:val="center"/>
            <w:tcMar>
              <w:top w:w="90" w:type="dxa"/>
              <w:start w:w="100" w:type="dxa"/>
              <w:bottom w:w="90" w:type="dxa"/>
              <w:end w:w="100" w:type="dxa"/>
            </w:tcMar>
            <w:shd w:fill="17324D"/>
          </w:tcPr>
          <w:p>
            <w:pPr>
              <w:spacing w:after="30"/>
            </w:pPr>
            <w:r>
              <w:rPr>
                <w:rFonts w:ascii="Arial" w:hAnsi="Arial"/>
                <w:b/>
                <w:color w:val="FFFFFF"/>
                <w:sz w:val="17"/>
              </w:rPr>
              <w:t>Ergebnis</w:t>
            </w:r>
          </w:p>
        </w:tc>
        <w:tc>
          <w:tcPr>
            <w:tcW w:type="dxa" w:w="2436"/>
            <w:vAlign w:val="center"/>
            <w:tcMar>
              <w:top w:w="90" w:type="dxa"/>
              <w:start w:w="100" w:type="dxa"/>
              <w:bottom w:w="90" w:type="dxa"/>
              <w:end w:w="100" w:type="dxa"/>
            </w:tcMar>
            <w:shd w:fill="17324D"/>
          </w:tcPr>
          <w:p>
            <w:pPr>
              <w:spacing w:after="30"/>
            </w:pPr>
            <w:r>
              <w:rPr>
                <w:rFonts w:ascii="Arial" w:hAnsi="Arial"/>
                <w:b/>
                <w:color w:val="FFFFFF"/>
                <w:sz w:val="17"/>
              </w:rPr>
              <w:t>Vorbehalt</w:t>
            </w:r>
          </w:p>
        </w:tc>
      </w:tr>
      <w:tr>
        <w:tc>
          <w:tcPr>
            <w:tcW w:type="dxa" w:w="2436"/>
            <w:vAlign w:val="center"/>
            <w:tcMar>
              <w:top w:w="90" w:type="dxa"/>
              <w:start w:w="100" w:type="dxa"/>
              <w:bottom w:w="90" w:type="dxa"/>
              <w:end w:w="100" w:type="dxa"/>
            </w:tcMar>
          </w:tcPr>
          <w:p>
            <w:pPr>
              <w:spacing w:after="30"/>
            </w:pPr>
            <w:r>
              <w:rPr>
                <w:rFonts w:ascii="Arial" w:hAnsi="Arial"/>
                <w:sz w:val="17"/>
              </w:rPr>
              <w:t>1</w:t>
            </w:r>
          </w:p>
        </w:tc>
        <w:tc>
          <w:tcPr>
            <w:tcW w:type="dxa" w:w="2436"/>
            <w:vAlign w:val="center"/>
            <w:tcMar>
              <w:top w:w="90" w:type="dxa"/>
              <w:start w:w="100" w:type="dxa"/>
              <w:bottom w:w="90" w:type="dxa"/>
              <w:end w:w="100" w:type="dxa"/>
            </w:tcMar>
          </w:tcPr>
          <w:p>
            <w:pPr>
              <w:spacing w:after="30"/>
            </w:pPr>
            <w:r>
              <w:rPr>
                <w:rFonts w:ascii="Arial" w:hAnsi="Arial"/>
                <w:sz w:val="17"/>
              </w:rPr>
              <w:t>Feststellung Anwesenheit</w:t>
            </w:r>
          </w:p>
        </w:tc>
        <w:tc>
          <w:tcPr>
            <w:tcW w:type="dxa" w:w="2436"/>
            <w:vAlign w:val="center"/>
            <w:tcMar>
              <w:top w:w="90" w:type="dxa"/>
              <w:start w:w="100" w:type="dxa"/>
              <w:bottom w:w="90" w:type="dxa"/>
              <w:end w:w="100" w:type="dxa"/>
            </w:tcMar>
          </w:tcPr>
          <w:p>
            <w:pPr>
              <w:spacing w:after="30"/>
            </w:pPr>
            <w:r>
              <w:rPr>
                <w:rFonts w:ascii="Arial" w:hAnsi="Arial"/>
                <w:sz w:val="17"/>
              </w:rPr>
              <w:t>Protokolliert</w:t>
            </w:r>
          </w:p>
        </w:tc>
        <w:tc>
          <w:tcPr>
            <w:tcW w:type="dxa" w:w="2436"/>
            <w:vAlign w:val="center"/>
            <w:tcMar>
              <w:top w:w="90" w:type="dxa"/>
              <w:start w:w="100" w:type="dxa"/>
              <w:bottom w:w="90" w:type="dxa"/>
              <w:end w:w="100" w:type="dxa"/>
            </w:tcMar>
          </w:tcPr>
          <w:p>
            <w:pPr>
              <w:spacing w:after="30"/>
            </w:pPr>
            <w:r>
              <w:rPr>
                <w:rFonts w:ascii="Arial" w:hAnsi="Arial"/>
                <w:sz w:val="17"/>
              </w:rPr>
              <w:t>Vertretung Nachlassanteil streitig</w:t>
            </w:r>
          </w:p>
        </w:tc>
      </w:tr>
      <w:tr>
        <w:tc>
          <w:tcPr>
            <w:tcW w:type="dxa" w:w="2436"/>
            <w:vAlign w:val="center"/>
            <w:tcMar>
              <w:top w:w="90" w:type="dxa"/>
              <w:start w:w="100" w:type="dxa"/>
              <w:bottom w:w="90" w:type="dxa"/>
              <w:end w:w="100" w:type="dxa"/>
            </w:tcMar>
            <w:shd w:fill="F2F4F5"/>
          </w:tcPr>
          <w:p>
            <w:pPr>
              <w:spacing w:after="30"/>
            </w:pPr>
            <w:r>
              <w:rPr>
                <w:rFonts w:ascii="Arial" w:hAnsi="Arial"/>
                <w:sz w:val="17"/>
              </w:rPr>
              <w:t>2</w:t>
            </w:r>
          </w:p>
        </w:tc>
        <w:tc>
          <w:tcPr>
            <w:tcW w:type="dxa" w:w="2436"/>
            <w:vAlign w:val="center"/>
            <w:tcMar>
              <w:top w:w="90" w:type="dxa"/>
              <w:start w:w="100" w:type="dxa"/>
              <w:bottom w:w="90" w:type="dxa"/>
              <w:end w:w="100" w:type="dxa"/>
            </w:tcMar>
            <w:shd w:fill="F2F4F5"/>
          </w:tcPr>
          <w:p>
            <w:pPr>
              <w:spacing w:after="30"/>
            </w:pPr>
            <w:r>
              <w:rPr>
                <w:rFonts w:ascii="Arial" w:hAnsi="Arial"/>
                <w:sz w:val="17"/>
              </w:rPr>
              <w:t>Investitionsplan Fertigungslinie</w:t>
            </w:r>
          </w:p>
        </w:tc>
        <w:tc>
          <w:tcPr>
            <w:tcW w:type="dxa" w:w="2436"/>
            <w:vAlign w:val="center"/>
            <w:tcMar>
              <w:top w:w="90" w:type="dxa"/>
              <w:start w:w="100" w:type="dxa"/>
              <w:bottom w:w="90" w:type="dxa"/>
              <w:end w:w="100" w:type="dxa"/>
            </w:tcMar>
            <w:shd w:fill="F2F4F5"/>
          </w:tcPr>
          <w:p>
            <w:pPr>
              <w:spacing w:after="30"/>
            </w:pPr>
            <w:r>
              <w:rPr>
                <w:rFonts w:ascii="Arial" w:hAnsi="Arial"/>
                <w:sz w:val="17"/>
              </w:rPr>
              <w:t>82 Prozent Zustimmung</w:t>
            </w:r>
          </w:p>
        </w:tc>
        <w:tc>
          <w:tcPr>
            <w:tcW w:type="dxa" w:w="2436"/>
            <w:vAlign w:val="center"/>
            <w:tcMar>
              <w:top w:w="90" w:type="dxa"/>
              <w:start w:w="100" w:type="dxa"/>
              <w:bottom w:w="90" w:type="dxa"/>
              <w:end w:w="100" w:type="dxa"/>
            </w:tcMar>
            <w:shd w:fill="F2F4F5"/>
          </w:tcPr>
          <w:p>
            <w:pPr>
              <w:spacing w:after="30"/>
            </w:pPr>
            <w:r>
              <w:rPr>
                <w:rFonts w:ascii="Arial" w:hAnsi="Arial"/>
                <w:sz w:val="17"/>
              </w:rPr>
              <w:t>Tilo widerspricht</w:t>
            </w:r>
          </w:p>
        </w:tc>
      </w:tr>
      <w:tr>
        <w:tc>
          <w:tcPr>
            <w:tcW w:type="dxa" w:w="2436"/>
            <w:vAlign w:val="center"/>
            <w:tcMar>
              <w:top w:w="90" w:type="dxa"/>
              <w:start w:w="100" w:type="dxa"/>
              <w:bottom w:w="90" w:type="dxa"/>
              <w:end w:w="100" w:type="dxa"/>
            </w:tcMar>
          </w:tcPr>
          <w:p>
            <w:pPr>
              <w:spacing w:after="30"/>
            </w:pPr>
            <w:r>
              <w:rPr>
                <w:rFonts w:ascii="Arial" w:hAnsi="Arial"/>
                <w:sz w:val="17"/>
              </w:rPr>
              <w:t>3</w:t>
            </w:r>
          </w:p>
        </w:tc>
        <w:tc>
          <w:tcPr>
            <w:tcW w:type="dxa" w:w="2436"/>
            <w:vAlign w:val="center"/>
            <w:tcMar>
              <w:top w:w="90" w:type="dxa"/>
              <w:start w:w="100" w:type="dxa"/>
              <w:bottom w:w="90" w:type="dxa"/>
              <w:end w:w="100" w:type="dxa"/>
            </w:tcMar>
          </w:tcPr>
          <w:p>
            <w:pPr>
              <w:spacing w:after="30"/>
            </w:pPr>
            <w:r>
              <w:rPr>
                <w:rFonts w:ascii="Arial" w:hAnsi="Arial"/>
                <w:sz w:val="17"/>
              </w:rPr>
              <w:t>Abruf Investitionsdarlehen</w:t>
            </w:r>
          </w:p>
        </w:tc>
        <w:tc>
          <w:tcPr>
            <w:tcW w:type="dxa" w:w="2436"/>
            <w:vAlign w:val="center"/>
            <w:tcMar>
              <w:top w:w="90" w:type="dxa"/>
              <w:start w:w="100" w:type="dxa"/>
              <w:bottom w:w="90" w:type="dxa"/>
              <w:end w:w="100" w:type="dxa"/>
            </w:tcMar>
          </w:tcPr>
          <w:p>
            <w:pPr>
              <w:spacing w:after="30"/>
            </w:pPr>
            <w:r>
              <w:rPr>
                <w:rFonts w:ascii="Arial" w:hAnsi="Arial"/>
                <w:sz w:val="17"/>
              </w:rPr>
              <w:t>82 Prozent Zustimmung</w:t>
            </w:r>
          </w:p>
        </w:tc>
        <w:tc>
          <w:tcPr>
            <w:tcW w:type="dxa" w:w="2436"/>
            <w:vAlign w:val="center"/>
            <w:tcMar>
              <w:top w:w="90" w:type="dxa"/>
              <w:start w:w="100" w:type="dxa"/>
              <w:bottom w:w="90" w:type="dxa"/>
              <w:end w:w="100" w:type="dxa"/>
            </w:tcMar>
          </w:tcPr>
          <w:p>
            <w:pPr>
              <w:spacing w:after="30"/>
            </w:pPr>
            <w:r>
              <w:rPr>
                <w:rFonts w:ascii="Arial" w:hAnsi="Arial"/>
                <w:sz w:val="17"/>
              </w:rPr>
              <w:t>Bankbedingungen</w:t>
            </w:r>
          </w:p>
        </w:tc>
      </w:tr>
      <w:tr>
        <w:tc>
          <w:tcPr>
            <w:tcW w:type="dxa" w:w="2436"/>
            <w:vAlign w:val="center"/>
            <w:tcMar>
              <w:top w:w="90" w:type="dxa"/>
              <w:start w:w="100" w:type="dxa"/>
              <w:bottom w:w="90" w:type="dxa"/>
              <w:end w:w="100" w:type="dxa"/>
            </w:tcMar>
            <w:shd w:fill="F2F4F5"/>
          </w:tcPr>
          <w:p>
            <w:pPr>
              <w:spacing w:after="30"/>
            </w:pPr>
            <w:r>
              <w:rPr>
                <w:rFonts w:ascii="Arial" w:hAnsi="Arial"/>
                <w:sz w:val="17"/>
              </w:rPr>
              <w:t>4</w:t>
            </w:r>
          </w:p>
        </w:tc>
        <w:tc>
          <w:tcPr>
            <w:tcW w:type="dxa" w:w="2436"/>
            <w:vAlign w:val="center"/>
            <w:tcMar>
              <w:top w:w="90" w:type="dxa"/>
              <w:start w:w="100" w:type="dxa"/>
              <w:bottom w:w="90" w:type="dxa"/>
              <w:end w:w="100" w:type="dxa"/>
            </w:tcMar>
            <w:shd w:fill="F2F4F5"/>
          </w:tcPr>
          <w:p>
            <w:pPr>
              <w:spacing w:after="30"/>
            </w:pPr>
            <w:r>
              <w:rPr>
                <w:rFonts w:ascii="Arial" w:hAnsi="Arial"/>
                <w:sz w:val="17"/>
              </w:rPr>
              <w:t>Ausschüttungssperre</w:t>
            </w:r>
          </w:p>
        </w:tc>
        <w:tc>
          <w:tcPr>
            <w:tcW w:type="dxa" w:w="2436"/>
            <w:vAlign w:val="center"/>
            <w:tcMar>
              <w:top w:w="90" w:type="dxa"/>
              <w:start w:w="100" w:type="dxa"/>
              <w:bottom w:w="90" w:type="dxa"/>
              <w:end w:w="100" w:type="dxa"/>
            </w:tcMar>
            <w:shd w:fill="F2F4F5"/>
          </w:tcPr>
          <w:p>
            <w:pPr>
              <w:spacing w:after="30"/>
            </w:pPr>
            <w:r>
              <w:rPr>
                <w:rFonts w:ascii="Arial" w:hAnsi="Arial"/>
                <w:sz w:val="17"/>
              </w:rPr>
              <w:t>einstimmig befristet</w:t>
            </w:r>
          </w:p>
        </w:tc>
        <w:tc>
          <w:tcPr>
            <w:tcW w:type="dxa" w:w="2436"/>
            <w:vAlign w:val="center"/>
            <w:tcMar>
              <w:top w:w="90" w:type="dxa"/>
              <w:start w:w="100" w:type="dxa"/>
              <w:bottom w:w="90" w:type="dxa"/>
              <w:end w:w="100" w:type="dxa"/>
            </w:tcMar>
            <w:shd w:fill="F2F4F5"/>
          </w:tcPr>
          <w:p>
            <w:pPr>
              <w:spacing w:after="30"/>
            </w:pPr>
            <w:r>
              <w:rPr>
                <w:rFonts w:ascii="Arial" w:hAnsi="Arial"/>
                <w:sz w:val="17"/>
              </w:rPr>
              <w:t>bis Bankfreigabe</w:t>
            </w:r>
          </w:p>
        </w:tc>
      </w:tr>
      <w:tr>
        <w:tc>
          <w:tcPr>
            <w:tcW w:type="dxa" w:w="2436"/>
            <w:vAlign w:val="center"/>
            <w:tcMar>
              <w:top w:w="90" w:type="dxa"/>
              <w:start w:w="100" w:type="dxa"/>
              <w:bottom w:w="90" w:type="dxa"/>
              <w:end w:w="100" w:type="dxa"/>
            </w:tcMar>
          </w:tcPr>
          <w:p>
            <w:pPr>
              <w:spacing w:after="30"/>
            </w:pPr>
            <w:r>
              <w:rPr>
                <w:rFonts w:ascii="Arial" w:hAnsi="Arial"/>
                <w:sz w:val="17"/>
              </w:rPr>
              <w:t>5</w:t>
            </w:r>
          </w:p>
        </w:tc>
        <w:tc>
          <w:tcPr>
            <w:tcW w:type="dxa" w:w="2436"/>
            <w:vAlign w:val="center"/>
            <w:tcMar>
              <w:top w:w="90" w:type="dxa"/>
              <w:start w:w="100" w:type="dxa"/>
              <w:bottom w:w="90" w:type="dxa"/>
              <w:end w:w="100" w:type="dxa"/>
            </w:tcMar>
          </w:tcPr>
          <w:p>
            <w:pPr>
              <w:spacing w:after="30"/>
            </w:pPr>
            <w:r>
              <w:rPr>
                <w:rFonts w:ascii="Arial" w:hAnsi="Arial"/>
                <w:sz w:val="17"/>
              </w:rPr>
              <w:t>Unternehmensgutachter</w:t>
            </w:r>
          </w:p>
        </w:tc>
        <w:tc>
          <w:tcPr>
            <w:tcW w:type="dxa" w:w="2436"/>
            <w:vAlign w:val="center"/>
            <w:tcMar>
              <w:top w:w="90" w:type="dxa"/>
              <w:start w:w="100" w:type="dxa"/>
              <w:bottom w:w="90" w:type="dxa"/>
              <w:end w:w="100" w:type="dxa"/>
            </w:tcMar>
          </w:tcPr>
          <w:p>
            <w:pPr>
              <w:spacing w:after="30"/>
            </w:pPr>
            <w:r>
              <w:rPr>
                <w:rFonts w:ascii="Arial" w:hAnsi="Arial"/>
                <w:sz w:val="17"/>
              </w:rPr>
              <w:t>drei Angebote einholen</w:t>
            </w:r>
          </w:p>
        </w:tc>
        <w:tc>
          <w:tcPr>
            <w:tcW w:type="dxa" w:w="2436"/>
            <w:vAlign w:val="center"/>
            <w:tcMar>
              <w:top w:w="90" w:type="dxa"/>
              <w:start w:w="100" w:type="dxa"/>
              <w:bottom w:w="90" w:type="dxa"/>
              <w:end w:w="100" w:type="dxa"/>
            </w:tcMar>
          </w:tcPr>
          <w:p>
            <w:pPr>
              <w:spacing w:after="30"/>
            </w:pPr>
            <w:r>
              <w:rPr>
                <w:rFonts w:ascii="Arial" w:hAnsi="Arial"/>
                <w:sz w:val="17"/>
              </w:rPr>
              <w:t>keine Auswahl</w:t>
            </w:r>
          </w:p>
        </w:tc>
      </w:tr>
    </w:tbl>
    <w:p>
      <w:pPr>
        <w:pStyle w:val="Heading1"/>
      </w:pPr>
      <w:r>
        <w:t>3. Wortbeiträge</w:t>
      </w:r>
    </w:p>
    <w:p>
      <w:pPr>
        <w:keepLines w:val="0"/>
      </w:pPr>
      <w:r>
        <w:t>Tilo verlangte, im Protokoll festzuhalten, dass seine Zustimmung zur Fortführung des Betriebs keine Anerkennung der internen Planung oder eines Unternehmenswerts sei. Mara erklärte, die Fertigungslinie sei bereits im Wirtschaftsplan 2025 beschlossen und für die Aufträge 26-174 und 26-181 erforderlich.</w:t>
      </w:r>
    </w:p>
    <w:p>
      <w:pPr>
        <w:keepLines w:val="0"/>
      </w:pPr>
      <w:r>
        <w:t>Dr. Lehnert erklärte, er gebe Stimmen nur für den seiner Verwaltung unterliegenden Anteil ab und greife nicht in die operative Geschäftsführung ein. Die Notarin nahm keine abschließende rechtliche Bewertung seiner Befugnisse vor.</w:t>
      </w:r>
    </w:p>
    <w:p>
      <w:pPr>
        <w:pStyle w:val="Heading1"/>
      </w:pPr>
      <w:r>
        <w:t>4. Anlagen und Unterschriften</w:t>
      </w:r>
    </w:p>
    <w:p>
      <w:pPr>
        <w:keepLines w:val="0"/>
      </w:pPr>
      <w:r>
        <w:t>Anlagen: Einladung, Teilnehmerliste, Investitionsvorlage, Bankbrief, Abstimmungsliste. Tilo beantragte am 20.05.2026 zwei Protokollergänzungen; diese sind als Nachtrag beigefügt.</w:t>
      </w:r>
    </w:p>
    <w:p>
      <w:pPr>
        <w:keepLines w:val="0"/>
      </w:pPr>
      <w:r>
        <w:t>Würzburg, 18.05.2026</w:t>
        <w:br/>
        <w:t>Dr. Eva Küppers, Notarin</w:t>
        <w:br/>
        <w:t>Mara Baumann</w:t>
        <w:br/>
        <w:t>Tilo Baumann</w:t>
        <w:br/>
        <w:t>Dr. Fedor Lehnert</w:t>
      </w:r>
    </w:p>
    <w:sectPr w:rsidR="00FC693F" w:rsidRPr="0006063C" w:rsidSect="00034616">
      <w:headerReference w:type="default" r:id="rId9"/>
      <w:footerReference w:type="default" r:id="rId10"/>
      <w:pgSz w:w="12240" w:h="15840"/>
      <w:pgMar w:top="1162" w:right="1219" w:bottom="1162" w:left="1276"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jc w:val="center"/>
    </w:pPr>
    <w:r>
      <w:rPr>
        <w:rFonts w:ascii="Arial" w:hAnsi="Arial"/>
        <w:color w:val="6B7378"/>
        <w:sz w:val="12"/>
      </w:rPr>
      <w:t>Werk 1 | Nürnberger Straße 118 | 97076 Würzburg | HRB 10482</w:t>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pP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Baumann Präzision GmbH</w:t>
          </w:r>
        </w:p>
        <w:p>
          <w:pPr>
            <w:spacing w:after="0"/>
          </w:pPr>
          <w:r>
            <w:rPr>
              <w:color w:val="6B7378"/>
              <w:sz w:val="15"/>
            </w:rPr>
            <w:t>Werk 1 | Nürnberger Straße 118 | 97076 Würzburg | HRB 10482</w:t>
          </w:r>
        </w:p>
      </w:tc>
      <w:tc>
        <w:tcPr>
          <w:tcW w:type="dxa" w:w="4706"/>
        </w:tcPr>
        <w:p>
          <w:pPr>
            <w:spacing w:after="20"/>
            <w:jc w:val="right"/>
          </w:pPr>
          <w:r>
            <w:rPr>
              <w:b/>
              <w:color w:val="17324D"/>
              <w:sz w:val="18"/>
            </w:rPr>
            <w:t>Nachlass Baumann</w:t>
          </w:r>
        </w:p>
        <w:p>
          <w:pPr>
            <w:spacing w:after="0"/>
            <w:jc w:val="right"/>
          </w:pPr>
          <w:r>
            <w:rPr>
              <w:color w:val="6B7378"/>
              <w:sz w:val="15"/>
            </w:rPr>
            <w:t>Aktenzeichen SP/26-309 MB</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Steinbrück Partnerschaft</dc:creator>
  <cp:keywords/>
  <dc:description>generated by python-docx</dc:description>
  <cp:lastModifiedBy>Steinbrück Partnerschaft</cp:lastModifiedBy>
  <cp:revision>1</cp:revision>
  <dcterms:created xsi:type="dcterms:W3CDTF">2026-07-15T12:00:00Z</dcterms:created>
  <dcterms:modified xsi:type="dcterms:W3CDTF">2026-07-15T12:00:00Z</dcterms:modified>
  <cp:category/>
</cp:coreProperties>
</file>