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Fristenkalender, Banktermine und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02.07.2026, 17:20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Kalenderführung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Rechtsanwaltsfachangestellte Lena Brück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Kontrolle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Felix Steinbrück</w:t>
            </w:r>
          </w:p>
        </w:tc>
      </w:tr>
    </w:tbl>
    <w:p/>
    <w:p>
      <w:pPr>
        <w:pStyle w:val="Heading1"/>
      </w:pPr>
      <w:r>
        <w:t>1. Fristen und Termine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Vorfrist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Verantwortlich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06.07.2026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Unterlagen Bank MF-44719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03.07.2026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Mara / Lars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teilweise hochgeladen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Ergänzungen Monatsabschluss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07.07.2026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Controlling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offen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15.07.2026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Gutachterangebote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Lehnert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zwei von drei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Stellungnahme Tilo Auskunft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17.07.2026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Kanzlei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Entwurf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Betriebsmittellinie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Entscheidung offen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Verwaltungsbericht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Lehnert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angekündigt</w:t>
            </w:r>
          </w:p>
        </w:tc>
      </w:tr>
    </w:tbl>
    <w:p>
      <w:pPr>
        <w:pStyle w:val="Heading1"/>
      </w:pPr>
      <w:r>
        <w:t>2.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Zeit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Empfänger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Dokument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Kanal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Nachweis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20.05.2026, 15:32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Lehnert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Befugnis- und Berichtsschreiben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15:35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12.06.2026, 11:05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Mainfranken Bank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Freigabepaket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Datenraum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Version 1.4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18.06.2026, 09:44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Fricke &amp; Albus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Zwischenantwort Auskunft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bestätigt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30.06.2026, 16:15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Mara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Banknotiz und Aufgaben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Mandantenportal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Abruf 16:28</w:t>
            </w:r>
          </w:p>
        </w:tc>
      </w:tr>
    </w:tbl>
    <w:p>
      <w:pPr>
        <w:pStyle w:val="Heading1"/>
      </w:pPr>
      <w:r>
        <w:t>3. Aktenlogik</w:t>
      </w:r>
    </w:p>
    <w:p>
      <w:pPr>
        <w:keepLines w:val="0"/>
      </w:pPr>
      <w:r>
        <w:t>Bank-, Gesellschafts-, Vollstrecker- und Pflichtteilsvorgänge erhalten getrennte Unterordner. Dokumente werden nur mit Freigabestatus final in den Datenraum gestellt. Ein intern gerechnetes Pflichtteilsband ist nicht als Anerkenntnis zu bezeichnen.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Felix Steinbrück, Rechtsanwalt und Fachanwalt für Erbrecht | Anderkonto DE41 7905 0000 0038 7720 11 | BIC BYLADEM1SWU | St.-Nr. 257/184/09122 | Berufshaftpflicht: Süddeutsche JurAssekuranz AG, München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Steinbrück Partnerschaft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Gesellschaftsrecht | Theaterstraße 9 | 97070 Würzburg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Baumann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SP/26-309 MB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Steinbrück Partnerschaft</dc:creator>
  <cp:keywords/>
  <dc:description>generated by python-docx</dc:description>
  <cp:lastModifiedBy>Steinbrück Partnerschaft</cp:lastModifiedBy>
  <cp:revision>1</cp:revision>
  <dcterms:created xsi:type="dcterms:W3CDTF">2026-07-15T12:00:00Z</dcterms:created>
  <dcterms:modified xsi:type="dcterms:W3CDTF">2026-07-15T12:00:00Z</dcterms:modified>
  <cp:category/>
</cp:coreProperties>
</file>