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Mandatsnotiz</w:t>
      </w:r>
    </w:p>
    <w:p>
      <w:pPr>
        <w:widowControl/>
        <w:jc w:val="left"/>
      </w:pPr>
      <w:r>
        <w:rPr>
          <w:rFonts w:ascii="Arial" w:hAnsi="Arial" w:eastAsia="Arial"/>
        </w:rPr>
        <w:t>Mandantin: Nele Sander, geboren am 14.04.1986, Ärztin in Weimar. Erblasser: Ralf Sander, geboren am 09.09.1955, verstorben am 08.06.2026. Weitere Beteiligte: Peer Sander, Bruder der Mandantin, und Jonas Mielke, geboren am 21.01.1991, Prokurist der Sander Präzisionsteile GmbH.</w:t>
      </w:r>
    </w:p>
    <w:p>
      <w:pPr>
        <w:pStyle w:val="Heading2"/>
        <w:widowControl/>
      </w:pPr>
      <w:r>
        <w:rPr>
          <w:rFonts w:ascii="Arial" w:hAnsi="Arial" w:eastAsia="Arial"/>
        </w:rPr>
        <w:t>Familienlage</w:t>
      </w:r>
    </w:p>
    <w:p>
      <w:pPr>
        <w:widowControl/>
        <w:jc w:val="left"/>
      </w:pPr>
      <w:r>
        <w:rPr>
          <w:rFonts w:ascii="Arial" w:hAnsi="Arial" w:eastAsia="Arial"/>
        </w:rPr>
        <w:t>Ralf Sander war seit 2019 verwitwet. Nele und Peer sind seine leiblichen Kinder. Jonas Mielke absolvierte 2006 zunächst ein Schulpraktikum und eine Ausbildung im Betrieb, begann 2012 ein duales Studium, wurde 2019 Prokurist und lebte nach Angaben des Erblassers "wie ein Sohn" im Unternehmen. Im Jahr 2024 wurde Jonas als Volljähriger angenommen.</w:t>
      </w:r>
    </w:p>
    <w:p>
      <w:pPr>
        <w:pStyle w:val="Heading2"/>
        <w:widowControl/>
      </w:pPr>
      <w:r>
        <w:rPr>
          <w:rFonts w:ascii="Arial" w:hAnsi="Arial" w:eastAsia="Arial"/>
        </w:rPr>
        <w:t>Konflikt</w:t>
      </w:r>
    </w:p>
    <w:p>
      <w:pPr>
        <w:widowControl/>
        <w:jc w:val="left"/>
      </w:pPr>
      <w:r>
        <w:rPr>
          <w:rFonts w:ascii="Arial" w:hAnsi="Arial" w:eastAsia="Arial"/>
        </w:rPr>
        <w:t>Nele erfuhr von der Adoption erst nach dem Tod des Vaters. Sie sagt, ihr Vater habe sie nach dem Tod der Mutter zunehmend aus dem Unternehmen gedrängt. Jonas habe Termine, Post und Bankkontakte kontrolliert. Peer will keinen Streit und denkt über Verkauf seiner Ansprüche nach.</w:t>
      </w:r>
    </w:p>
    <w:p>
      <w:pPr>
        <w:pStyle w:val="Heading2"/>
        <w:widowControl/>
      </w:pPr>
      <w:r>
        <w:rPr>
          <w:rFonts w:ascii="Arial" w:hAnsi="Arial" w:eastAsia="Arial"/>
        </w:rPr>
        <w:t>Ziel</w:t>
      </w:r>
    </w:p>
    <w:p>
      <w:pPr>
        <w:widowControl/>
        <w:jc w:val="left"/>
      </w:pPr>
      <w:r>
        <w:rPr>
          <w:rFonts w:ascii="Arial" w:hAnsi="Arial" w:eastAsia="Arial"/>
        </w:rPr>
        <w:t>Nele will wissen, ob Jonas überhaupt erbt, ob sie die Adoption angreifen kann, ob ihr Pflichtteil sinkt und wie die GmbH-Anteile zu bewerten sind.</w:t>
      </w:r>
    </w:p>
    <w:p>
      <w:pPr>
        <w:pStyle w:val="Heading1"/>
        <w:widowControl/>
      </w:pPr>
      <w:r>
        <w:rPr>
          <w:rFonts w:ascii="Arial" w:hAnsi="Arial" w:eastAsia="Arial"/>
        </w:rPr>
        <w:t>5. Gespräch und Unterlagen</w:t>
      </w:r>
    </w:p>
    <w:p>
      <w:pPr>
        <w:keepLines w:val="0"/>
        <w:widowControl/>
      </w:pPr>
      <w:r>
        <w:rPr>
          <w:rFonts w:ascii="Arial" w:hAnsi="Arial" w:eastAsia="Arial"/>
        </w:rPr>
        <w:t>Das Gespräch fand am 23.06.2026 von 09:12 bis 10:46 Uhr statt. Nele brachte Gerichtsschreiben, Testamentkopie, drei Nachrichten ihres Vaters und eine Gesellschafterliste mit. Ihr Bruder Peer nahm nicht teil und hat bislang keine Vollmacht erteilt.</w:t>
      </w:r>
    </w:p>
    <w:p>
      <w:pPr>
        <w:keepLines w:val="0"/>
        <w:widowControl/>
      </w:pPr>
      <w:r>
        <w:rPr>
          <w:rFonts w:ascii="Arial" w:hAnsi="Arial" w:eastAsia="Arial"/>
        </w:rPr>
        <w:t>Nele erfuhr nach ihrer glaubhaften zeitlichen Schilderung erstmals am 18.06.2026 aus dem Erbscheinantrag von der Adoption. Diese Kenntnisangabe wird für mögliche Verfahrensfragen dokumentiert, ohne ihre rechtliche Wirkung vorwegzunehmen.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blHeader w:val="true"/>
          <w:tblHeader w:val="true"/>
        </w:trPr>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3137"/>
            <w:vAlign w:val="center"/>
            <w:tcMar>
              <w:top w:w="90" w:type="dxa"/>
              <w:start w:w="100" w:type="dxa"/>
              <w:bottom w:w="90" w:type="dxa"/>
              <w:end w:w="100" w:type="dxa"/>
            </w:tcMar>
          </w:tcPr>
          <w:p>
            <w:pPr>
              <w:spacing w:after="30"/>
            </w:pPr>
            <w:r>
              <w:rPr>
                <w:rFonts w:ascii="Arial" w:hAnsi="Arial"/>
                <w:sz w:val="17"/>
              </w:rPr>
              <w:t>Eröffnungsniederschrift</w:t>
            </w:r>
          </w:p>
        </w:tc>
        <w:tc>
          <w:tcPr>
            <w:tcW w:type="dxa" w:w="3137"/>
            <w:vAlign w:val="center"/>
            <w:tcMar>
              <w:top w:w="90" w:type="dxa"/>
              <w:start w:w="100" w:type="dxa"/>
              <w:bottom w:w="90" w:type="dxa"/>
              <w:end w:w="100" w:type="dxa"/>
            </w:tcMar>
          </w:tcPr>
          <w:p>
            <w:pPr>
              <w:spacing w:after="30"/>
            </w:pPr>
            <w:r>
              <w:rPr>
                <w:rFonts w:ascii="Arial" w:hAnsi="Arial"/>
                <w:sz w:val="17"/>
              </w:rPr>
              <w:t>17.06.2026</w:t>
            </w:r>
          </w:p>
        </w:tc>
        <w:tc>
          <w:tcPr>
            <w:tcW w:type="dxa" w:w="3137"/>
            <w:vAlign w:val="center"/>
            <w:tcMar>
              <w:top w:w="90" w:type="dxa"/>
              <w:start w:w="100" w:type="dxa"/>
              <w:bottom w:w="90" w:type="dxa"/>
              <w:end w:w="100" w:type="dxa"/>
            </w:tcMar>
          </w:tcPr>
          <w:p>
            <w:pPr>
              <w:spacing w:after="30"/>
            </w:pPr>
            <w:r>
              <w:rPr>
                <w:rFonts w:ascii="Arial" w:hAnsi="Arial"/>
                <w:sz w:val="17"/>
              </w:rPr>
              <w:t>beglaubigte Abschrift</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Adoptionsbeschluss</w:t>
            </w:r>
          </w:p>
        </w:tc>
        <w:tc>
          <w:tcPr>
            <w:tcW w:type="dxa" w:w="3137"/>
            <w:vAlign w:val="center"/>
            <w:tcMar>
              <w:top w:w="90" w:type="dxa"/>
              <w:start w:w="100" w:type="dxa"/>
              <w:bottom w:w="90" w:type="dxa"/>
              <w:end w:w="100" w:type="dxa"/>
            </w:tcMar>
            <w:shd w:fill="F2F4F5"/>
          </w:tcPr>
          <w:p>
            <w:pPr>
              <w:spacing w:after="30"/>
            </w:pPr>
            <w:r>
              <w:rPr>
                <w:rFonts w:ascii="Arial" w:hAnsi="Arial"/>
                <w:sz w:val="17"/>
              </w:rPr>
              <w:t>18.12.2024</w:t>
            </w:r>
          </w:p>
        </w:tc>
        <w:tc>
          <w:tcPr>
            <w:tcW w:type="dxa" w:w="3137"/>
            <w:vAlign w:val="center"/>
            <w:tcMar>
              <w:top w:w="90" w:type="dxa"/>
              <w:start w:w="100" w:type="dxa"/>
              <w:bottom w:w="90" w:type="dxa"/>
              <w:end w:w="100" w:type="dxa"/>
            </w:tcMar>
            <w:shd w:fill="F2F4F5"/>
          </w:tcPr>
          <w:p>
            <w:pPr>
              <w:spacing w:after="30"/>
            </w:pPr>
            <w:r>
              <w:rPr>
                <w:rFonts w:ascii="Arial" w:hAnsi="Arial"/>
                <w:sz w:val="17"/>
              </w:rPr>
              <w:t>Kopie aus Akteneinsicht</w:t>
            </w:r>
          </w:p>
        </w:tc>
      </w:tr>
      <w:tr>
        <w:tc>
          <w:tcPr>
            <w:tcW w:type="dxa" w:w="3137"/>
            <w:vAlign w:val="center"/>
            <w:tcMar>
              <w:top w:w="90" w:type="dxa"/>
              <w:start w:w="100" w:type="dxa"/>
              <w:bottom w:w="90" w:type="dxa"/>
              <w:end w:w="100" w:type="dxa"/>
            </w:tcMar>
          </w:tcPr>
          <w:p>
            <w:pPr>
              <w:spacing w:after="30"/>
            </w:pPr>
            <w:r>
              <w:rPr>
                <w:rFonts w:ascii="Arial" w:hAnsi="Arial"/>
                <w:sz w:val="17"/>
              </w:rPr>
              <w:t>Testament</w:t>
            </w:r>
          </w:p>
        </w:tc>
        <w:tc>
          <w:tcPr>
            <w:tcW w:type="dxa" w:w="3137"/>
            <w:vAlign w:val="center"/>
            <w:tcMar>
              <w:top w:w="90" w:type="dxa"/>
              <w:start w:w="100" w:type="dxa"/>
              <w:bottom w:w="90" w:type="dxa"/>
              <w:end w:w="100" w:type="dxa"/>
            </w:tcMar>
          </w:tcPr>
          <w:p>
            <w:pPr>
              <w:spacing w:after="30"/>
            </w:pPr>
            <w:r>
              <w:rPr>
                <w:rFonts w:ascii="Arial" w:hAnsi="Arial"/>
                <w:sz w:val="17"/>
              </w:rPr>
              <w:t>09.04.2025</w:t>
            </w:r>
          </w:p>
        </w:tc>
        <w:tc>
          <w:tcPr>
            <w:tcW w:type="dxa" w:w="3137"/>
            <w:vAlign w:val="center"/>
            <w:tcMar>
              <w:top w:w="90" w:type="dxa"/>
              <w:start w:w="100" w:type="dxa"/>
              <w:bottom w:w="90" w:type="dxa"/>
              <w:end w:w="100" w:type="dxa"/>
            </w:tcMar>
          </w:tcPr>
          <w:p>
            <w:pPr>
              <w:spacing w:after="30"/>
            </w:pPr>
            <w:r>
              <w:rPr>
                <w:rFonts w:ascii="Arial" w:hAnsi="Arial"/>
                <w:sz w:val="17"/>
              </w:rPr>
              <w:t>gerichtliche Abschrift</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Gesellschafterliste</w:t>
            </w:r>
          </w:p>
        </w:tc>
        <w:tc>
          <w:tcPr>
            <w:tcW w:type="dxa" w:w="3137"/>
            <w:vAlign w:val="center"/>
            <w:tcMar>
              <w:top w:w="90" w:type="dxa"/>
              <w:start w:w="100" w:type="dxa"/>
              <w:bottom w:w="90" w:type="dxa"/>
              <w:end w:w="100" w:type="dxa"/>
            </w:tcMar>
            <w:shd w:fill="F2F4F5"/>
          </w:tcPr>
          <w:p>
            <w:pPr>
              <w:spacing w:after="30"/>
            </w:pPr>
            <w:r>
              <w:rPr>
                <w:rFonts w:ascii="Arial" w:hAnsi="Arial"/>
                <w:sz w:val="17"/>
              </w:rPr>
              <w:t>20.03.2023</w:t>
            </w:r>
          </w:p>
        </w:tc>
        <w:tc>
          <w:tcPr>
            <w:tcW w:type="dxa" w:w="3137"/>
            <w:vAlign w:val="center"/>
            <w:tcMar>
              <w:top w:w="90" w:type="dxa"/>
              <w:start w:w="100" w:type="dxa"/>
              <w:bottom w:w="90" w:type="dxa"/>
              <w:end w:w="100" w:type="dxa"/>
            </w:tcMar>
            <w:shd w:fill="F2F4F5"/>
          </w:tcPr>
          <w:p>
            <w:pPr>
              <w:spacing w:after="30"/>
            </w:pPr>
            <w:r>
              <w:rPr>
                <w:rFonts w:ascii="Arial" w:hAnsi="Arial"/>
                <w:sz w:val="17"/>
              </w:rPr>
              <w:t>Registerausdruck</w:t>
            </w:r>
          </w:p>
        </w:tc>
      </w:tr>
      <w:tr>
        <w:tc>
          <w:tcPr>
            <w:tcW w:type="dxa" w:w="3137"/>
            <w:vAlign w:val="center"/>
            <w:tcMar>
              <w:top w:w="90" w:type="dxa"/>
              <w:start w:w="100" w:type="dxa"/>
              <w:bottom w:w="90" w:type="dxa"/>
              <w:end w:w="100" w:type="dxa"/>
            </w:tcMar>
          </w:tcPr>
          <w:p>
            <w:pPr>
              <w:spacing w:after="30"/>
            </w:pPr>
            <w:r>
              <w:rPr>
                <w:rFonts w:ascii="Arial" w:hAnsi="Arial"/>
                <w:sz w:val="17"/>
              </w:rPr>
              <w:t>Nachlassaufstellung Jonas</w:t>
            </w:r>
          </w:p>
        </w:tc>
        <w:tc>
          <w:tcPr>
            <w:tcW w:type="dxa" w:w="3137"/>
            <w:vAlign w:val="center"/>
            <w:tcMar>
              <w:top w:w="90" w:type="dxa"/>
              <w:start w:w="100" w:type="dxa"/>
              <w:bottom w:w="90" w:type="dxa"/>
              <w:end w:w="100" w:type="dxa"/>
            </w:tcMar>
          </w:tcPr>
          <w:p>
            <w:pPr>
              <w:spacing w:after="30"/>
            </w:pPr>
            <w:r>
              <w:rPr>
                <w:rFonts w:ascii="Arial" w:hAnsi="Arial"/>
                <w:sz w:val="17"/>
              </w:rPr>
              <w:t>20.06.2026</w:t>
            </w:r>
          </w:p>
        </w:tc>
        <w:tc>
          <w:tcPr>
            <w:tcW w:type="dxa" w:w="3137"/>
            <w:vAlign w:val="center"/>
            <w:tcMar>
              <w:top w:w="90" w:type="dxa"/>
              <w:start w:w="100" w:type="dxa"/>
              <w:bottom w:w="90" w:type="dxa"/>
              <w:end w:w="100" w:type="dxa"/>
            </w:tcMar>
          </w:tcPr>
          <w:p>
            <w:pPr>
              <w:spacing w:after="30"/>
            </w:pPr>
            <w:r>
              <w:rPr>
                <w:rFonts w:ascii="Arial" w:hAnsi="Arial"/>
                <w:sz w:val="17"/>
              </w:rPr>
              <w:t>ohne Belege</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Carolin Weigand, Rechtsanwältin und Fachanwältin für Erbrecht | Anderkonto DE49 8205 1000 0064 2200 19 | BIC HELADEF1WEM | St.-Nr. 151/284/01983 | Berufshaftpflicht: JurAssekuranz AG, Leipzig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Dr. Weigand</w:t>
          </w:r>
        </w:p>
        <w:p>
          <w:pPr>
            <w:spacing w:after="0"/>
          </w:pPr>
          <w:r>
            <w:rPr>
              <w:color w:val="6B7378"/>
              <w:sz w:val="15"/>
            </w:rPr>
            <w:t>Familien- und Erbrecht | Anger 55 | 99084 Erfurt</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