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Adoptionsbeschluss und Beziehungsunterlagen</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Amtsgericht Erfurt – Familiengericht</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Geschäftszeichen</w:t>
            </w:r>
          </w:p>
        </w:tc>
        <w:tc>
          <w:tcPr>
            <w:tcW w:type="dxa" w:w="4872"/>
            <w:vAlign w:val="center"/>
            <w:tcMar>
              <w:top w:w="90" w:type="dxa"/>
              <w:start w:w="100" w:type="dxa"/>
              <w:bottom w:w="90" w:type="dxa"/>
              <w:end w:w="100" w:type="dxa"/>
            </w:tcMar>
          </w:tcPr>
          <w:p>
            <w:pPr>
              <w:spacing w:after="30"/>
            </w:pPr>
            <w:r>
              <w:rPr>
                <w:rFonts w:ascii="Arial" w:hAnsi="Arial"/>
                <w:sz w:val="17"/>
              </w:rPr>
              <w:t>36 F 1874/24</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Beschluss</w:t>
            </w:r>
          </w:p>
        </w:tc>
        <w:tc>
          <w:tcPr>
            <w:tcW w:type="dxa" w:w="4872"/>
            <w:vAlign w:val="center"/>
            <w:tcMar>
              <w:top w:w="90" w:type="dxa"/>
              <w:start w:w="100" w:type="dxa"/>
              <w:bottom w:w="90" w:type="dxa"/>
              <w:end w:w="100" w:type="dxa"/>
            </w:tcMar>
            <w:shd w:fill="F2F4F5"/>
          </w:tcPr>
          <w:p>
            <w:pPr>
              <w:spacing w:after="30"/>
            </w:pPr>
            <w:r>
              <w:rPr>
                <w:rFonts w:ascii="Arial" w:hAnsi="Arial"/>
                <w:sz w:val="17"/>
              </w:rPr>
              <w:t>18.12.2024</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Rechtskraft</w:t>
            </w:r>
          </w:p>
        </w:tc>
        <w:tc>
          <w:tcPr>
            <w:tcW w:type="dxa" w:w="4872"/>
            <w:vAlign w:val="center"/>
            <w:tcMar>
              <w:top w:w="90" w:type="dxa"/>
              <w:start w:w="100" w:type="dxa"/>
              <w:bottom w:w="90" w:type="dxa"/>
              <w:end w:w="100" w:type="dxa"/>
            </w:tcMar>
          </w:tcPr>
          <w:p>
            <w:pPr>
              <w:spacing w:after="30"/>
            </w:pPr>
            <w:r>
              <w:rPr>
                <w:rFonts w:ascii="Arial" w:hAnsi="Arial"/>
                <w:sz w:val="17"/>
              </w:rPr>
              <w:t>24.01.2025</w:t>
            </w:r>
          </w:p>
        </w:tc>
      </w:tr>
    </w:tbl>
    <w:p/>
    <w:p>
      <w:pPr>
        <w:pStyle w:val="Heading1"/>
      </w:pPr>
      <w:r>
        <w:t>1. Beschlussformel</w:t>
      </w:r>
    </w:p>
    <w:p>
      <w:pPr>
        <w:keepLines w:val="0"/>
      </w:pPr>
      <w:r>
        <w:t>Ralf Sander, geboren am 09.09.1955, nimmt Jonas Mielke, geboren am 21.01.1991, als volljähriges Kind an. Der Angenommene führt seit Rechtskraft den Namen Jonas Mielke-Sander. Ausgesprochen wurden die gesetzlichen Wirkungen der Volljährigenadoption; eine Annahme mit den Wirkungen einer Minderjährigenadoption wurde nicht beantragt.</w:t>
      </w:r>
    </w:p>
    <w:p>
      <w:pPr>
        <w:pStyle w:val="Heading1"/>
      </w:pPr>
      <w:r>
        <w:t>2. Beziehungsdarstellung aus der Akte</w:t>
      </w:r>
    </w:p>
    <w:p>
      <w:pPr>
        <w:keepLines w:val="0"/>
      </w:pPr>
      <w:r>
        <w:t>Jonas absolvierte 2006 zunächst ein Schulpraktikum und anschließend eine Ausbildung im Unternehmen. Nach einem dualen Studium ab 2012 übernahm er technische Projektverantwortung. Ralf unterstützte ihn beruflich und privat. Jonas' Mutter verstarb 2012; zum leiblichen Vater Uwe Mielke bestand seit 2009 nur sporadischer Kontakt.</w:t>
      </w:r>
    </w:p>
    <w:p>
      <w:pPr>
        <w:keepLines w:val="0"/>
      </w:pPr>
      <w:r>
        <w:t>Nach Ralfs Herzoperation 2018 organisierte Jonas Arztfahrten und verbrachte Feiertage regelmäßig mit ihm. Seit 2016 bestanden wechselseitige Vorsorgevollmachten für medizinische Notfälle. Jonas wurde 2019 Prokurist, 2023 Geschäftsführer und Gesellschafter mit 14 Prozent.</w:t>
      </w:r>
    </w:p>
    <w:p>
      <w:pPr>
        <w:pStyle w:val="Heading1"/>
      </w:pPr>
      <w:r>
        <w:t>3. Wirtschaftliche Gesichtspunkte</w:t>
      </w:r>
    </w:p>
    <w:p>
      <w:pPr>
        <w:keepLines w:val="0"/>
      </w:pPr>
      <w:r>
        <w:t>Die Akte dokumentiert, dass Unternehmensnachfolge und erbrechtliche Folgen in den Anhörungen angesprochen wurden. Ralf erklärte, die Adoption bilde vor allem eine gewachsene persönliche Beziehung ab; die betriebliche Nachfolge werde zusätzlich durch Gesellschaftsvertrag und Testament geregelt. Jonas erklärte, er erwarte aus der Adoption keine automatische Übertragung weiterer GmbH-Anteile.</w:t>
      </w:r>
    </w:p>
    <w:p>
      <w:pPr>
        <w:pStyle w:val="Heading1"/>
      </w:pPr>
      <w:r>
        <w:t>4. Beteiligung der leiblichen Kinder</w:t>
      </w:r>
    </w:p>
    <w:p>
      <w:pPr>
        <w:keepLines w:val="0"/>
      </w:pPr>
      <w:r>
        <w:t>Nele und Peer wurden im Verfahren nicht förmlich beteiligt und nicht persönlich angehört. Die Beschlussgründe enthalten den Satz, überwiegende entgegenstehende Interessen der leiblichen Kinder seien nach dem Akteninhalt nicht ersichtlich. Eine Zustellung oder Benachrichtigung an Nele oder Peer ist in der beigezogenen Akte nicht dokumentiert.</w:t>
      </w:r>
    </w:p>
    <w:p>
      <w:pPr>
        <w:pStyle w:val="Heading1"/>
      </w:pPr>
      <w:r>
        <w:t>5. Interne E-Mail</w:t>
      </w:r>
    </w:p>
    <w:p>
      <w:pPr>
        <w:keepLines w:val="0"/>
      </w:pPr>
      <w:r>
        <w:t>Jonas schrieb am 03.02.2025 an Steuerberater Jens Hesse: Die Adoption ist jetzt rechtskräftig. Bitte bei der Nachfolgeplanung mitdenken. Ralf will vermeiden, dass Pflichtteilszahlungen die Firma zwingen, Maschinen oder Anteile zu verkaufen. Die E-Mail wird als Motivindiz gesichert, ohne allein die persönliche Beziehung oder die gerichtliche Entscheidung zu bewerten.</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Familiengericht | Rudolfstraße 46 | 99092 Erfurt | 36 F 1874/24</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Amtsgericht Erfurt</w:t>
          </w:r>
        </w:p>
        <w:p>
          <w:pPr>
            <w:spacing w:after="0"/>
          </w:pPr>
          <w:r>
            <w:rPr>
              <w:color w:val="6B7378"/>
              <w:sz w:val="15"/>
            </w:rPr>
            <w:t>Familiengericht | Rudolfstraße 46 | 99092 Erfurt | 36 F 1874/24</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