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Pflichtteil und Auskunft</w:t>
      </w:r>
    </w:p>
    <w:p>
      <w:pPr>
        <w:pStyle w:val="Heading2"/>
        <w:widowControl/>
      </w:pPr>
      <w:r>
        <w:rPr>
          <w:rFonts w:ascii="Arial" w:hAnsi="Arial" w:eastAsia="Arial"/>
        </w:rPr>
        <w:t>Schreiben Nele an Jonas vom 22.06.2026</w:t>
      </w:r>
    </w:p>
    <w:p>
      <w:pPr>
        <w:widowControl/>
        <w:jc w:val="left"/>
      </w:pPr>
      <w:r>
        <w:rPr>
          <w:rFonts w:ascii="Arial" w:hAnsi="Arial" w:eastAsia="Arial"/>
        </w:rPr>
        <w:t>Jonas,</w:t>
      </w:r>
    </w:p>
    <w:p>
      <w:pPr>
        <w:widowControl/>
        <w:jc w:val="left"/>
      </w:pPr>
      <w:r>
        <w:rPr>
          <w:rFonts w:ascii="Arial" w:hAnsi="Arial" w:eastAsia="Arial"/>
        </w:rPr>
        <w:t>ich akzeptiere nicht, dass Vater mich aus allem herausgedrängt hat. Bitte sende mir bis Ende des Monats das Testament, den Adoptionsbeschluss, die Gesellschafterunterlagen und eine vollständige Liste des Nachlasses. Ich werde meinen Pflichtteil geltend machen.</w:t>
      </w:r>
    </w:p>
    <w:p>
      <w:pPr>
        <w:widowControl/>
        <w:jc w:val="left"/>
      </w:pPr>
      <w:r>
        <w:rPr>
          <w:rFonts w:ascii="Arial" w:hAnsi="Arial" w:eastAsia="Arial"/>
        </w:rPr>
        <w:t>Nele</w:t>
      </w:r>
    </w:p>
    <w:p>
      <w:pPr>
        <w:pStyle w:val="Heading2"/>
        <w:widowControl/>
      </w:pPr>
      <w:r>
        <w:rPr>
          <w:rFonts w:ascii="Arial" w:hAnsi="Arial" w:eastAsia="Arial"/>
        </w:rPr>
        <w:t>Antwort Jonas vom 25.06.2026</w:t>
      </w:r>
    </w:p>
    <w:p>
      <w:pPr>
        <w:widowControl/>
        <w:jc w:val="left"/>
      </w:pPr>
      <w:r>
        <w:rPr>
          <w:rFonts w:ascii="Arial" w:hAnsi="Arial" w:eastAsia="Arial"/>
        </w:rPr>
        <w:t>Nele,</w:t>
      </w:r>
    </w:p>
    <w:p>
      <w:pPr>
        <w:widowControl/>
        <w:jc w:val="left"/>
      </w:pPr>
      <w:r>
        <w:rPr>
          <w:rFonts w:ascii="Arial" w:hAnsi="Arial" w:eastAsia="Arial"/>
        </w:rPr>
        <w:t>du bekommst, was dir gesetzlich zusteht. Aber du wirst nicht die Firma blockieren. Vater hat klar entschieden. Die Adoption ist rechtskräftig. Ich bin sein Sohn und Alleinerbe.</w:t>
      </w:r>
    </w:p>
    <w:p>
      <w:pPr>
        <w:widowControl/>
        <w:jc w:val="left"/>
      </w:pPr>
      <w:r>
        <w:rPr>
          <w:rFonts w:ascii="Arial" w:hAnsi="Arial" w:eastAsia="Arial"/>
        </w:rPr>
        <w:t>Jonas</w:t>
      </w:r>
    </w:p>
    <w:p>
      <w:pPr>
        <w:pStyle w:val="Heading2"/>
        <w:widowControl/>
      </w:pPr>
      <w:r>
        <w:rPr>
          <w:rFonts w:ascii="Arial" w:hAnsi="Arial" w:eastAsia="Arial"/>
        </w:rPr>
        <w:t>Vorläufiger Nachlass</w:t>
      </w:r>
    </w:p>
    <w:tbl>
      <w:tblPr>
        <w:tblStyle w:val="TableGrid"/>
        <w:tblW w:type="auto" w:w="0"/>
        <w:jc w:val="center"/>
        <w:tblLayout w:type="autofit"/>
        <w:tblLook w:firstColumn="1" w:firstRow="1" w:lastColumn="0" w:lastRow="0" w:noHBand="0" w:noVBand="1" w:val="04A0"/>
      </w:tblPr>
      <w:tblGrid>
        <w:gridCol w:w="4536"/>
        <w:gridCol w:w="4536"/>
      </w:tblGrid>
      <w:tr>
        <w:trPr>
          <w:tblHeader w:val="true"/>
          <w:tblHeader w:val="true"/>
          <w:tblHeader w:val="true"/>
          <w:tblHeader w:val="true"/>
          <w:tblHeader w:val="true"/>
        </w:trPr>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Gegenstand</w:t>
            </w:r>
          </w:p>
        </w:tc>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Wertangabe Jonas</w:t>
            </w:r>
          </w:p>
        </w:tc>
      </w:tr>
      <w:tr>
        <w:tc>
          <w:tcPr>
            <w:tcW w:type="dxa" w:w="4536"/>
            <w:vAlign w:val="center"/>
            <w:tcMar>
              <w:top w:w="90" w:type="dxa"/>
              <w:start w:w="100" w:type="dxa"/>
              <w:bottom w:w="90" w:type="dxa"/>
              <w:end w:w="100" w:type="dxa"/>
            </w:tcMar>
          </w:tcPr>
          <w:p>
            <w:pPr>
              <w:spacing w:after="30"/>
            </w:pPr>
            <w:r>
              <w:rPr>
                <w:rFonts w:ascii="Arial" w:hAnsi="Arial"/>
                <w:sz w:val="17"/>
              </w:rPr>
              <w:t>86 Prozent Sander Präzisionsteile GmbH</w:t>
            </w:r>
          </w:p>
        </w:tc>
        <w:tc>
          <w:tcPr>
            <w:tcW w:type="dxa" w:w="4536"/>
            <w:vAlign w:val="center"/>
            <w:tcMar>
              <w:top w:w="90" w:type="dxa"/>
              <w:start w:w="100" w:type="dxa"/>
              <w:bottom w:w="90" w:type="dxa"/>
              <w:end w:w="100" w:type="dxa"/>
            </w:tcMar>
          </w:tcPr>
          <w:p>
            <w:pPr>
              <w:spacing w:after="30"/>
            </w:pPr>
            <w:r>
              <w:rPr>
                <w:rFonts w:ascii="Arial" w:hAnsi="Arial"/>
                <w:sz w:val="17"/>
              </w:rPr>
              <w:t>2.064.000,00 EUR</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Wohnhaus Erfurt</w:t>
            </w:r>
          </w:p>
        </w:tc>
        <w:tc>
          <w:tcPr>
            <w:tcW w:type="dxa" w:w="4536"/>
            <w:vAlign w:val="center"/>
            <w:tcMar>
              <w:top w:w="90" w:type="dxa"/>
              <w:start w:w="100" w:type="dxa"/>
              <w:bottom w:w="90" w:type="dxa"/>
              <w:end w:w="100" w:type="dxa"/>
            </w:tcMar>
            <w:shd w:fill="F2F4F5"/>
          </w:tcPr>
          <w:p>
            <w:pPr>
              <w:spacing w:after="30"/>
            </w:pPr>
            <w:r>
              <w:rPr>
                <w:rFonts w:ascii="Arial" w:hAnsi="Arial"/>
                <w:sz w:val="17"/>
              </w:rPr>
              <w:t>740.000,00 EUR</w:t>
            </w:r>
          </w:p>
        </w:tc>
      </w:tr>
      <w:tr>
        <w:tc>
          <w:tcPr>
            <w:tcW w:type="dxa" w:w="4536"/>
            <w:vAlign w:val="center"/>
            <w:tcMar>
              <w:top w:w="90" w:type="dxa"/>
              <w:start w:w="100" w:type="dxa"/>
              <w:bottom w:w="90" w:type="dxa"/>
              <w:end w:w="100" w:type="dxa"/>
            </w:tcMar>
          </w:tcPr>
          <w:p>
            <w:pPr>
              <w:spacing w:after="30"/>
            </w:pPr>
            <w:r>
              <w:rPr>
                <w:rFonts w:ascii="Arial" w:hAnsi="Arial"/>
                <w:sz w:val="17"/>
              </w:rPr>
              <w:t>Depot</w:t>
            </w:r>
          </w:p>
        </w:tc>
        <w:tc>
          <w:tcPr>
            <w:tcW w:type="dxa" w:w="4536"/>
            <w:vAlign w:val="center"/>
            <w:tcMar>
              <w:top w:w="90" w:type="dxa"/>
              <w:start w:w="100" w:type="dxa"/>
              <w:bottom w:w="90" w:type="dxa"/>
              <w:end w:w="100" w:type="dxa"/>
            </w:tcMar>
          </w:tcPr>
          <w:p>
            <w:pPr>
              <w:spacing w:after="30"/>
            </w:pPr>
            <w:r>
              <w:rPr>
                <w:rFonts w:ascii="Arial" w:hAnsi="Arial"/>
                <w:sz w:val="17"/>
              </w:rPr>
              <w:t>310.000,00 EUR</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Oldtimer Porsche 911</w:t>
            </w:r>
          </w:p>
        </w:tc>
        <w:tc>
          <w:tcPr>
            <w:tcW w:type="dxa" w:w="4536"/>
            <w:vAlign w:val="center"/>
            <w:tcMar>
              <w:top w:w="90" w:type="dxa"/>
              <w:start w:w="100" w:type="dxa"/>
              <w:bottom w:w="90" w:type="dxa"/>
              <w:end w:w="100" w:type="dxa"/>
            </w:tcMar>
            <w:shd w:fill="F2F4F5"/>
          </w:tcPr>
          <w:p>
            <w:pPr>
              <w:spacing w:after="30"/>
            </w:pPr>
            <w:r>
              <w:rPr>
                <w:rFonts w:ascii="Arial" w:hAnsi="Arial"/>
                <w:sz w:val="17"/>
              </w:rPr>
              <w:t>118.000,00 EUR</w:t>
            </w:r>
          </w:p>
        </w:tc>
      </w:tr>
      <w:tr>
        <w:tc>
          <w:tcPr>
            <w:tcW w:type="dxa" w:w="4536"/>
            <w:vAlign w:val="center"/>
            <w:tcMar>
              <w:top w:w="90" w:type="dxa"/>
              <w:start w:w="100" w:type="dxa"/>
              <w:bottom w:w="90" w:type="dxa"/>
              <w:end w:w="100" w:type="dxa"/>
            </w:tcMar>
          </w:tcPr>
          <w:p>
            <w:pPr>
              <w:spacing w:after="30"/>
            </w:pPr>
            <w:r>
              <w:rPr>
                <w:rFonts w:ascii="Arial" w:hAnsi="Arial"/>
                <w:sz w:val="17"/>
              </w:rPr>
              <w:t>Darlehen GmbH gegenüber Ralf</w:t>
            </w:r>
          </w:p>
        </w:tc>
        <w:tc>
          <w:tcPr>
            <w:tcW w:type="dxa" w:w="4536"/>
            <w:vAlign w:val="center"/>
            <w:tcMar>
              <w:top w:w="90" w:type="dxa"/>
              <w:start w:w="100" w:type="dxa"/>
              <w:bottom w:w="90" w:type="dxa"/>
              <w:end w:w="100" w:type="dxa"/>
            </w:tcMar>
          </w:tcPr>
          <w:p>
            <w:pPr>
              <w:spacing w:after="30"/>
            </w:pPr>
            <w:r>
              <w:rPr>
                <w:rFonts w:ascii="Arial" w:hAnsi="Arial"/>
                <w:sz w:val="17"/>
              </w:rPr>
              <w:t>280.000,00 EUR</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Bankverbindlichkeiten privat</w:t>
            </w:r>
          </w:p>
        </w:tc>
        <w:tc>
          <w:tcPr>
            <w:tcW w:type="dxa" w:w="4536"/>
            <w:vAlign w:val="center"/>
            <w:tcMar>
              <w:top w:w="90" w:type="dxa"/>
              <w:start w:w="100" w:type="dxa"/>
              <w:bottom w:w="90" w:type="dxa"/>
              <w:end w:w="100" w:type="dxa"/>
            </w:tcMar>
            <w:shd w:fill="F2F4F5"/>
          </w:tcPr>
          <w:p>
            <w:pPr>
              <w:spacing w:after="30"/>
            </w:pPr>
            <w:r>
              <w:rPr>
                <w:rFonts w:ascii="Arial" w:hAnsi="Arial"/>
                <w:sz w:val="17"/>
              </w:rPr>
              <w:t>-220.000,00 EUR</w:t>
            </w:r>
          </w:p>
        </w:tc>
      </w:tr>
    </w:tbl>
    <w:p>
      <w:pPr>
        <w:pStyle w:val="Heading2"/>
        <w:widowControl/>
      </w:pPr>
      <w:r>
        <w:rPr>
          <w:rFonts w:ascii="Arial" w:hAnsi="Arial" w:eastAsia="Arial"/>
        </w:rPr>
        <w:t>Beratungsvermerk</w:t>
      </w:r>
    </w:p>
    <w:p>
      <w:pPr>
        <w:widowControl/>
        <w:jc w:val="left"/>
      </w:pPr>
      <w:r>
        <w:rPr>
          <w:rFonts w:ascii="Arial" w:hAnsi="Arial" w:eastAsia="Arial"/>
        </w:rPr>
        <w:t>Für die spätere Quotenberechnung sind der rechtskräftige Adoptionsbeschluss, dessen ausgesprochene Wirkungen, die vollständige Abkömmlingslinie und das Testament gemeinsam zu dokumentieren. Die Akte berechnet keine Quote, bevor Personenstand und Verfahrensunterlagen vollständig abgeglichen sind.</w:t>
      </w:r>
    </w:p>
    <w:p>
      <w:pPr>
        <w:pStyle w:val="Heading1"/>
        <w:widowControl/>
      </w:pPr>
      <w:r>
        <w:rPr>
          <w:rFonts w:ascii="Arial" w:hAnsi="Arial" w:eastAsia="Arial"/>
        </w:rPr>
        <w:t>5. Zugang und Belegstatus</w:t>
      </w:r>
    </w:p>
    <w:p>
      <w:pPr>
        <w:keepLines w:val="0"/>
        <w:widowControl/>
      </w:pPr>
      <w:r>
        <w:rPr>
          <w:rFonts w:ascii="Arial" w:hAnsi="Arial" w:eastAsia="Arial"/>
        </w:rPr>
        <w:t>Neles handschriftliches Schreiben vom 22.06.2026 wurde am selben Tag um 17:18 Uhr in den Briefkasten Am Mühlgraben 3 eingeworfen; Nachbarin Anke Förster war dabei. Jonas antwortete am 25.06.2026 per E-Mail. Ein geordnetes Verzeichnis oder Belege waren nicht beigefügt.</w:t>
      </w:r>
    </w:p>
    <w:p>
      <w:pPr>
        <w:keepLines w:val="0"/>
        <w:widowControl/>
      </w:pPr>
      <w:r>
        <w:rPr>
          <w:rFonts w:ascii="Arial" w:hAnsi="Arial" w:eastAsia="Arial"/>
        </w:rPr>
        <w:t>Die Kanzlei fordert deshalb nicht nur Summen, sondern Konten, Immobilien, Beteiligungen, Forderungen, Verbindlichkeiten und lebzeitige Übertragungen mit Datum und Quelle an. Die Quote wird erst nach geklärtem Personenstand und Nachlassbestand berechnet.</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Carolin Weigand, Rechtsanwältin und Fachanwältin für Erbrecht | Anderkonto DE49 8205 1000 0064 2200 19 | BIC HELADEF1WEM | St.-Nr. 151/284/01983 | Berufshaftpflicht: JurAssekuranz AG, Leipzig</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Dr. Weigand</w:t>
          </w:r>
        </w:p>
        <w:p>
          <w:pPr>
            <w:spacing w:after="0"/>
          </w:pPr>
          <w:r>
            <w:rPr>
              <w:color w:val="6B7378"/>
              <w:sz w:val="15"/>
            </w:rPr>
            <w:t>Familien- und Erbrecht | Anger 55 | 99084 Erfurt</w:t>
          </w:r>
        </w:p>
      </w:tc>
      <w:tc>
        <w:tcPr>
          <w:tcW w:type="dxa" w:w="4706"/>
        </w:tcPr>
        <w:p>
          <w:pPr>
            <w:spacing w:after="20"/>
            <w:jc w:val="right"/>
          </w:pPr>
          <w:r>
            <w:rPr>
              <w:b/>
              <w:color w:val="17324D"/>
              <w:sz w:val="18"/>
            </w:rPr>
            <w:t>Nachlass Sander</w:t>
          </w:r>
        </w:p>
        <w:p>
          <w:pPr>
            <w:spacing w:after="0"/>
            <w:jc w:val="right"/>
          </w:pPr>
          <w:r>
            <w:rPr>
              <w:color w:val="6B7378"/>
              <w:sz w:val="15"/>
            </w:rPr>
            <w:t>Aktenzeichen 118/26 W02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Dr. Weigand</dc:creator>
  <cp:keywords/>
  <dc:description>generated by python-docx</dc:description>
  <cp:lastModifiedBy>Kanzlei Dr. Weigand</cp:lastModifiedBy>
  <cp:revision>1</cp:revision>
  <dcterms:created xsi:type="dcterms:W3CDTF">2026-07-15T12:00:00Z</dcterms:created>
  <dcterms:modified xsi:type="dcterms:W3CDTF">2026-07-15T12:00:00Z</dcterms:modified>
  <cp:category/>
</cp:coreProperties>
</file>