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Auszug aus der Adoptionsakte</w:t>
      </w:r>
    </w:p>
    <w:tbl>
      <w:tblPr>
        <w:tblStyle w:val="TableGrid"/>
        <w:tblW w:type="auto" w:w="0"/>
        <w:jc w:val="center"/>
        <w:tblLayout w:type="autofit"/>
        <w:tblLook w:firstColumn="1" w:firstRow="1" w:lastColumn="0" w:lastRow="0" w:noHBand="0" w:noVBand="1" w:val="04A0"/>
      </w:tblPr>
      <w:tblGrid>
        <w:gridCol w:w="4872"/>
        <w:gridCol w:w="4872"/>
      </w:tblGrid>
      <w:tr>
        <w:trPr>
          <w:tblHeader w:val="true"/>
        </w:trPr>
        <w:tc>
          <w:tcPr>
            <w:tcW w:type="dxa" w:w="4872"/>
            <w:shd w:fill="17324D"/>
            <w:vAlign w:val="center"/>
            <w:tcMar>
              <w:top w:w="90" w:type="dxa"/>
              <w:start w:w="100" w:type="dxa"/>
              <w:bottom w:w="90" w:type="dxa"/>
              <w:end w:w="100" w:type="dxa"/>
            </w:tcMar>
          </w:tcPr>
          <w:p>
            <w:pPr>
              <w:spacing w:after="30"/>
            </w:pPr>
            <w:r>
              <w:rPr>
                <w:rFonts w:ascii="Arial" w:hAnsi="Arial"/>
                <w:b/>
                <w:color w:val="FFFFFF"/>
                <w:sz w:val="17"/>
              </w:rPr>
              <w:t>Gericht</w:t>
            </w:r>
          </w:p>
        </w:tc>
        <w:tc>
          <w:tcPr>
            <w:tcW w:type="dxa" w:w="4872"/>
            <w:vAlign w:val="center"/>
            <w:tcMar>
              <w:top w:w="90" w:type="dxa"/>
              <w:start w:w="100" w:type="dxa"/>
              <w:bottom w:w="90" w:type="dxa"/>
              <w:end w:w="100" w:type="dxa"/>
            </w:tcMar>
            <w:shd w:fill="17324D"/>
          </w:tcPr>
          <w:p>
            <w:pPr>
              <w:spacing w:after="30"/>
            </w:pPr>
            <w:r>
              <w:rPr>
                <w:rFonts w:ascii="Arial" w:hAnsi="Arial"/>
                <w:b/>
                <w:color w:val="FFFFFF"/>
                <w:sz w:val="17"/>
              </w:rPr>
              <w:t>Amtsgericht Erfurt – Familiengericht</w:t>
            </w:r>
          </w:p>
        </w:tc>
      </w:tr>
      <w:tr>
        <w:tc>
          <w:tcPr>
            <w:tcW w:type="dxa" w:w="4872"/>
            <w:shd w:fill="EAF1F5"/>
            <w:vAlign w:val="center"/>
            <w:tcMar>
              <w:top w:w="90" w:type="dxa"/>
              <w:start w:w="100" w:type="dxa"/>
              <w:bottom w:w="90" w:type="dxa"/>
              <w:end w:w="100" w:type="dxa"/>
            </w:tcMar>
          </w:tcPr>
          <w:p>
            <w:pPr>
              <w:spacing w:after="30"/>
            </w:pPr>
            <w:r>
              <w:rPr>
                <w:rFonts w:ascii="Arial" w:hAnsi="Arial"/>
                <w:b/>
                <w:color w:val="17324D"/>
                <w:sz w:val="17"/>
              </w:rPr>
              <w:t>Geschäftszeichen</w:t>
            </w:r>
          </w:p>
        </w:tc>
        <w:tc>
          <w:tcPr>
            <w:tcW w:type="dxa" w:w="4872"/>
            <w:vAlign w:val="center"/>
            <w:tcMar>
              <w:top w:w="90" w:type="dxa"/>
              <w:start w:w="100" w:type="dxa"/>
              <w:bottom w:w="90" w:type="dxa"/>
              <w:end w:w="100" w:type="dxa"/>
            </w:tcMar>
          </w:tcPr>
          <w:p>
            <w:pPr>
              <w:spacing w:after="30"/>
            </w:pPr>
            <w:r>
              <w:rPr>
                <w:rFonts w:ascii="Arial" w:hAnsi="Arial"/>
                <w:sz w:val="17"/>
              </w:rPr>
              <w:t>36 F 1874/24</w:t>
            </w:r>
          </w:p>
        </w:tc>
      </w:tr>
      <w:tr>
        <w:tc>
          <w:tcPr>
            <w:tcW w:type="dxa" w:w="4872"/>
            <w:shd w:fill="F2F4F5"/>
            <w:vAlign w:val="center"/>
            <w:tcMar>
              <w:top w:w="90" w:type="dxa"/>
              <w:start w:w="100" w:type="dxa"/>
              <w:bottom w:w="90" w:type="dxa"/>
              <w:end w:w="100" w:type="dxa"/>
            </w:tcMar>
          </w:tcPr>
          <w:p>
            <w:pPr>
              <w:spacing w:after="30"/>
            </w:pPr>
            <w:r>
              <w:rPr>
                <w:rFonts w:ascii="Arial" w:hAnsi="Arial"/>
                <w:b/>
                <w:color w:val="17324D"/>
                <w:sz w:val="17"/>
              </w:rPr>
              <w:t>Akteneinsicht</w:t>
            </w:r>
          </w:p>
        </w:tc>
        <w:tc>
          <w:tcPr>
            <w:tcW w:type="dxa" w:w="4872"/>
            <w:vAlign w:val="center"/>
            <w:tcMar>
              <w:top w:w="90" w:type="dxa"/>
              <w:start w:w="100" w:type="dxa"/>
              <w:bottom w:w="90" w:type="dxa"/>
              <w:end w:w="100" w:type="dxa"/>
            </w:tcMar>
            <w:shd w:fill="F2F4F5"/>
          </w:tcPr>
          <w:p>
            <w:pPr>
              <w:spacing w:after="30"/>
            </w:pPr>
            <w:r>
              <w:rPr>
                <w:rFonts w:ascii="Arial" w:hAnsi="Arial"/>
                <w:sz w:val="17"/>
              </w:rPr>
              <w:t>bewilligt am 26.06.2026 für Nele Sander</w:t>
            </w:r>
          </w:p>
        </w:tc>
      </w:tr>
      <w:tr>
        <w:tc>
          <w:tcPr>
            <w:tcW w:type="dxa" w:w="4872"/>
            <w:shd w:fill="EAF1F5"/>
            <w:vAlign w:val="center"/>
            <w:tcMar>
              <w:top w:w="90" w:type="dxa"/>
              <w:start w:w="100" w:type="dxa"/>
              <w:bottom w:w="90" w:type="dxa"/>
              <w:end w:w="100" w:type="dxa"/>
            </w:tcMar>
          </w:tcPr>
          <w:p>
            <w:pPr>
              <w:spacing w:after="30"/>
            </w:pPr>
            <w:r>
              <w:rPr>
                <w:rFonts w:ascii="Arial" w:hAnsi="Arial"/>
                <w:b/>
                <w:color w:val="17324D"/>
                <w:sz w:val="17"/>
              </w:rPr>
              <w:t>Umfang</w:t>
            </w:r>
          </w:p>
        </w:tc>
        <w:tc>
          <w:tcPr>
            <w:tcW w:type="dxa" w:w="4872"/>
            <w:vAlign w:val="center"/>
            <w:tcMar>
              <w:top w:w="90" w:type="dxa"/>
              <w:start w:w="100" w:type="dxa"/>
              <w:bottom w:w="90" w:type="dxa"/>
              <w:end w:w="100" w:type="dxa"/>
            </w:tcMar>
          </w:tcPr>
          <w:p>
            <w:pPr>
              <w:spacing w:after="30"/>
            </w:pPr>
            <w:r>
              <w:rPr>
                <w:rFonts w:ascii="Arial" w:hAnsi="Arial"/>
                <w:sz w:val="17"/>
              </w:rPr>
              <w:t>Beschluss, Antrag, Anhörungsvermerke und Anlagenverzeichnis</w:t>
            </w:r>
          </w:p>
        </w:tc>
      </w:tr>
    </w:tbl>
    <w:p/>
    <w:p>
      <w:pPr>
        <w:pStyle w:val="Heading1"/>
      </w:pPr>
      <w:r>
        <w:t>1. Antrag und Personen</w:t>
      </w:r>
    </w:p>
    <w:p>
      <w:pPr>
        <w:keepLines w:val="0"/>
      </w:pPr>
      <w:r>
        <w:t>Annehmender: Ralf Sander, geboren am 09.09.1955. Anzunehmender: Jonas Mielke, geboren am 21.01.1991. Der notarielle Antrag ging am 19.03.2024 ein. Beantragt waren die gesetzlichen Wirkungen der Volljährigenadoption.</w:t>
      </w:r>
    </w:p>
    <w:p>
      <w:pPr>
        <w:pStyle w:val="Heading1"/>
      </w:pPr>
      <w:r>
        <w:t>2. Anhörung Ralf Sander</w:t>
      </w:r>
    </w:p>
    <w:p>
      <w:pPr>
        <w:keepLines w:val="0"/>
      </w:pPr>
      <w:r>
        <w:t>Ralf schilderte die Entwicklung vom Schulpraktikum 2006 über Ausbildung und duales Studium bis zur persönlichen Unterstützung nach dem Tod seiner Ehefrau 2019. Er bezeichnete Jonas als den Menschen, der im Alltag wie ein Sohn da sei. Unternehmensnachfolge und Pflichtteilsfolgen seien besprochen, aber nicht der einzige Anlass.</w:t>
      </w:r>
    </w:p>
    <w:p>
      <w:pPr>
        <w:pStyle w:val="Heading1"/>
      </w:pPr>
      <w:r>
        <w:t>3. Anhörung Jonas Mielke</w:t>
      </w:r>
    </w:p>
    <w:p>
      <w:pPr>
        <w:keepLines w:val="0"/>
      </w:pPr>
      <w:r>
        <w:t>Jonas berichtete über Feiertage, Arztbegleitung, Vorsorgevollmachten und private Unterstützung. Seine Mutter sei 2012 verstorben; zum leiblichen Vater bestehe nur sporadischer Kontakt. Er erklärte, die 14-Prozent-Beteiligung aus 2023 beruhe auf einem gesonderten Kaufvertrag und werde nicht durch die Adoption verändert.</w:t>
      </w:r>
    </w:p>
    <w:p>
      <w:pPr>
        <w:pStyle w:val="Heading1"/>
      </w:pPr>
      <w:r>
        <w:t>4. Weitere Ermittlung</w:t>
      </w:r>
    </w:p>
    <w:p>
      <w:pPr>
        <w:keepLines w:val="0"/>
      </w:pPr>
      <w:r>
        <w:t>Das Gericht holte schriftliche Aussagen der langjährigen Bekannten Marianne Kluge und des früheren Betriebsleiters Horst Becker ein. Nele und Peer wurden nicht angeschrieben, nicht förmlich beteiligt und nicht angehört. Die Akte enthält keine Zustellungsnachweise an sie.</w:t>
      </w:r>
    </w:p>
    <w:p>
      <w:pPr>
        <w:pStyle w:val="Heading1"/>
      </w:pPr>
      <w:r>
        <w:t>5. Beschluss</w:t>
      </w:r>
    </w:p>
    <w:p>
      <w:pPr>
        <w:keepLines w:val="0"/>
      </w:pPr>
      <w:r>
        <w:t>Der Beschluss vom 18.12.2024 spricht die Annahme aus und stellt eine sittliche Rechtfertigung durch das entstandene Eltern-Kind-Verhältnis fest. Rechtskraft trat am 24.01.2025 ein. Der Beschluss enthält keine Entscheidung über ein späteres Testament, Unternehmenswert oder Pflichtteilsbetrag.</w:t>
      </w:r>
    </w:p>
    <w:sectPr w:rsidR="00FC693F" w:rsidRPr="0006063C" w:rsidSect="00034616">
      <w:headerReference w:type="default" r:id="rId9"/>
      <w:footerReference w:type="default" r:id="rId10"/>
      <w:pgSz w:w="12240" w:h="15840"/>
      <w:pgMar w:top="1162" w:right="1219" w:bottom="1162" w:left="1276"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jc w:val="center"/>
    </w:pPr>
    <w:r>
      <w:rPr>
        <w:rFonts w:ascii="Arial" w:hAnsi="Arial"/>
        <w:color w:val="6B7378"/>
        <w:sz w:val="12"/>
      </w:rPr>
      <w:t>Familiengericht | Rudolfstraße 46 | 99092 Erfurt | 36 F 1874/24</w:t>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pP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Amtsgericht Erfurt</w:t>
          </w:r>
        </w:p>
        <w:p>
          <w:pPr>
            <w:spacing w:after="0"/>
          </w:pPr>
          <w:r>
            <w:rPr>
              <w:color w:val="6B7378"/>
              <w:sz w:val="15"/>
            </w:rPr>
            <w:t>Familiengericht | Rudolfstraße 46 | 99092 Erfurt | 36 F 1874/24</w:t>
          </w:r>
        </w:p>
      </w:tc>
      <w:tc>
        <w:tcPr>
          <w:tcW w:type="dxa" w:w="4706"/>
        </w:tcPr>
        <w:p>
          <w:pPr>
            <w:spacing w:after="20"/>
            <w:jc w:val="right"/>
          </w:pPr>
          <w:r>
            <w:rPr>
              <w:b/>
              <w:color w:val="17324D"/>
              <w:sz w:val="18"/>
            </w:rPr>
            <w:t>Nachlass Sander</w:t>
          </w:r>
        </w:p>
        <w:p>
          <w:pPr>
            <w:spacing w:after="0"/>
            <w:jc w:val="right"/>
          </w:pPr>
          <w:r>
            <w:rPr>
              <w:color w:val="6B7378"/>
              <w:sz w:val="15"/>
            </w:rPr>
            <w:t>Aktenzeichen 118/26 W02</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Kanzlei Dr. Weigand</dc:creator>
  <cp:keywords/>
  <dc:description>generated by python-docx</dc:description>
  <cp:lastModifiedBy>Kanzlei Dr. Weigand</cp:lastModifiedBy>
  <cp:revision>1</cp:revision>
  <dcterms:created xsi:type="dcterms:W3CDTF">2026-07-15T12:00:00Z</dcterms:created>
  <dcterms:modified xsi:type="dcterms:W3CDTF">2026-07-15T12:00:00Z</dcterms:modified>
  <cp:category/>
</cp:coreProperties>
</file>