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Oldenburg</w:t>
      </w:r>
    </w:p>
    <w:p>
      <w:pPr>
        <w:pStyle w:val="Heading1"/>
      </w:pPr>
      <w:r>
        <w:t>Kostenfestsetzungsbeschluss</w:t>
      </w:r>
    </w:p>
    <w:p>
      <w:r>
        <w:t>Az. 5 O 612/26</w:t>
      </w:r>
    </w:p>
    <w:p>
      <w:r>
        <w:t>Beschluss vom 02.07.2027</w:t>
      </w:r>
    </w:p>
    <w:p>
      <w:pPr>
        <w:pStyle w:val="Heading2"/>
      </w:pPr>
      <w:r>
        <w:t>Tenor</w:t>
      </w:r>
    </w:p>
    <w:p>
      <w:r>
        <w:t>Die zu erstattenden Kosten werden entsprechend dem Obsiegen und Unterliegen wie folgt festgesetzt: Beklagte zu 1 hat 3.240,00 EUR, Beklagte zu 2 hat 4.180,00 EUR und Beklagter zu 3 hat 3.560,00 EUR an den Klaeger zu erstatten.</w:t>
      </w:r>
    </w:p>
    <w:p/>
    <w:p>
      <w:r>
        <w:t>Der Rechtspfleger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