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Feddersen &amp; Osterloh Rechtsanwaelte | Insolvenzverwalter | Oldenburg</w:t>
      </w:r>
    </w:p>
    <w:p>
      <w:pPr>
        <w:pStyle w:val="Heading1"/>
      </w:pPr>
      <w:r>
        <w:t>Schlussvermerk zur Handakte</w:t>
      </w:r>
    </w:p>
    <w:p>
      <w:r>
        <w:t>Insolvenzverfahren Hollmann Bau- und Sanierungs GmbH, Az. 60 IN 87/26</w:t>
      </w:r>
    </w:p>
    <w:p>
      <w:r>
        <w:t>Vermerk vom 08.09.2027</w:t>
      </w:r>
    </w:p>
    <w:p>
      <w:pPr>
        <w:pStyle w:val="Heading2"/>
      </w:pPr>
      <w:r>
        <w:t>Zusammenfassung</w:t>
      </w:r>
    </w:p>
    <w:p>
      <w:r>
        <w:t>Das Urteil des Landgerichts Oldenburg vom 11.05.2027 (Az. 5 O 612/26) ist seit dem 15.06.2027 rechtskraeftig. Alle drei Beklagten haben die titulierten Betraege (27.900,00 EUR, 30.000,00 EUR und 19.800,00 EUR, zusammen 77.700,00 EUR) nebst Zinsen und Kosten bis zum 31.08.2027 vollstaendig an die Masse gezahlt.</w:t>
      </w:r>
    </w:p>
    <w:p>
      <w:pPr>
        <w:pStyle w:val="Heading2"/>
      </w:pPr>
      <w:r>
        <w:t>Bewertung</w:t>
      </w:r>
    </w:p>
    <w:p>
      <w:r>
        <w:t>Der Fall bestaetigt, dass die Kenntnis des Zuwendungsempfaengers fuer Paragraf 134 InsO unerheblich ist, dass die Vierjahresfrist streng nach dem Zeitpunkt der jeweiligen Einzelzuwendung zu berechnen ist und dass eine Drittzahlung zur Befreiung von einer fremden Verbindlichkeit den Schuldner der befreiten Verbindlichkeit und nicht den Zahlungsempfaenger zum tauglichen Anfechtungsgegner macht.</w:t>
      </w:r>
    </w:p>
    <w:p/>
    <w:p>
      <w:r>
        <w:t>Dr. Jasper Feddersen, Insolvenzverwalter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