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5A5A5A"/>
          <w:sz w:val="16"/>
        </w:rPr>
        <w:t>Projektakte Fuchsbachtal / Hirschleite</w:t>
      </w:r>
      <w:r>
        <w:rPr>
          <w:rFonts w:ascii="Arial" w:hAnsi="Arial"/>
          <w:color w:val="5A5A5A"/>
          <w:sz w:val="16"/>
        </w:rPr>
        <w:t xml:space="preserve">    INDEX-2026-07-04</w:t>
      </w:r>
    </w:p>
    <w:p>
      <w:r>
        <w:rPr>
          <w:rFonts w:ascii="Arial" w:hAnsi="Arial"/>
          <w:b/>
          <w:color w:val="0F5F66"/>
          <w:sz w:val="32"/>
        </w:rPr>
        <w:t>Aktenübersicht und Leistungsphasen-Index</w:t>
      </w:r>
    </w:p>
    <w:p>
      <w:r>
        <w:rPr>
          <w:rFonts w:ascii="Arial" w:hAnsi="Arial"/>
          <w:color w:val="505050"/>
          <w:sz w:val="20"/>
        </w:rPr>
        <w:t>A44 Ersatzneubau Talbrücke Fuchsbachtal und Tunnel Hirschleite</w:t>
      </w:r>
    </w:p>
    <w:p/>
    <w:p>
      <w:pPr>
        <w:spacing w:after="80"/>
      </w:pPr>
      <w:r>
        <w:rPr>
          <w:rFonts w:ascii="Arial" w:hAnsi="Arial"/>
          <w:b w:val="0"/>
          <w:sz w:val="20"/>
        </w:rPr>
        <w:t>Auftraggeber: Die Autobahn GmbH des Bundes, Niederlassung Westfalen, Außenstelle Kassel. Das Projekt umfasst den Ersatzneubau der Talbrücke Fuchsbachtal, den bergmännisch hergestellten Tunnel Hirschleite, zwei Betriebsgebäude, Verkehrsführung während der Bauzeit sowie Entwässerung, Leitungsumlegungen und landschaftspflegerische Begleitmaßnahmen.</w:t>
      </w:r>
    </w:p>
    <w:p>
      <w:pPr>
        <w:spacing w:after="80"/>
      </w:pPr>
      <w:r>
        <w:rPr>
          <w:rFonts w:ascii="Arial" w:hAnsi="Arial"/>
          <w:b w:val="0"/>
          <w:sz w:val="20"/>
        </w:rPr>
        <w:t>Die Unterlagen sind als Arbeitsordner der Projektleitung, Vergabestelle, Bauoberleitung und Rechtsabteilung zusammengestellt. Sie enthalten bewusst parallele Versionen, offene Rückfragen und Widersprüche zwischen Baugrund, Terminplan, Nachtragsprüfung und Vergabeverfahren.</w:t>
      </w:r>
    </w:p>
    <w:p>
      <w:r>
        <w:rPr>
          <w:rFonts w:ascii="Arial" w:hAnsi="Arial"/>
          <w:b/>
          <w:color w:val="0F5F66"/>
          <w:sz w:val="24"/>
        </w:rPr>
        <w:t>Bearbeitungsachsen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2F4F4"/>
            <w:vAlign w:val="top"/>
          </w:tcPr>
          <w:p>
            <w:r/>
            <w:r>
              <w:rPr>
                <w:rFonts w:ascii="Arial" w:hAnsi="Arial"/>
                <w:b/>
                <w:sz w:val="18"/>
              </w:rPr>
              <w:t>Achse</w:t>
            </w:r>
          </w:p>
        </w:tc>
        <w:tc>
          <w:tcPr>
            <w:tcW w:type="dxa" w:w="3324"/>
            <w:shd w:fill="F2F4F4"/>
            <w:vAlign w:val="top"/>
          </w:tcPr>
          <w:p>
            <w:r/>
            <w:r>
              <w:rPr>
                <w:rFonts w:ascii="Arial" w:hAnsi="Arial"/>
                <w:b/>
                <w:sz w:val="18"/>
              </w:rPr>
              <w:t>Aktenstücke</w:t>
            </w:r>
          </w:p>
        </w:tc>
        <w:tc>
          <w:tcPr>
            <w:tcW w:type="dxa" w:w="3324"/>
            <w:shd w:fill="F2F4F4"/>
            <w:vAlign w:val="top"/>
          </w:tcPr>
          <w:p>
            <w:r/>
            <w:r>
              <w:rPr>
                <w:rFonts w:ascii="Arial" w:hAnsi="Arial"/>
                <w:b/>
                <w:sz w:val="18"/>
              </w:rPr>
              <w:t>Kernfragen</w:t>
            </w:r>
          </w:p>
        </w:tc>
      </w:tr>
      <w:tr>
        <w:tc>
          <w:tcPr>
            <w:tcW w:type="dxa" w:w="3324"/>
            <w:vAlign w:val="top"/>
          </w:tcPr>
          <w:p>
            <w:r/>
            <w:r>
              <w:rPr>
                <w:rFonts w:ascii="Arial" w:hAnsi="Arial"/>
                <w:b w:val="0"/>
                <w:sz w:val="18"/>
              </w:rPr>
              <w:t>LPH 1-2</w:t>
            </w:r>
          </w:p>
        </w:tc>
        <w:tc>
          <w:tcPr>
            <w:tcW w:type="dxa" w:w="3324"/>
            <w:vAlign w:val="top"/>
          </w:tcPr>
          <w:p>
            <w:r/>
            <w:r>
              <w:rPr>
                <w:rFonts w:ascii="Arial" w:hAnsi="Arial"/>
                <w:b w:val="0"/>
                <w:sz w:val="18"/>
              </w:rPr>
              <w:t>Bedarf, Varianten, Umwelt- und Verkehrszwangspunkte</w:t>
            </w:r>
          </w:p>
        </w:tc>
        <w:tc>
          <w:tcPr>
            <w:tcW w:type="dxa" w:w="3324"/>
            <w:vAlign w:val="top"/>
          </w:tcPr>
          <w:p>
            <w:r/>
            <w:r>
              <w:rPr>
                <w:rFonts w:ascii="Arial" w:hAnsi="Arial"/>
                <w:b w:val="0"/>
                <w:sz w:val="18"/>
              </w:rPr>
              <w:t>Sind Aufgabenstellung, Variantenentscheidung und Kostenrahmen nachvollziehbar dokumentiert?</w:t>
            </w:r>
          </w:p>
        </w:tc>
      </w:tr>
      <w:tr>
        <w:tc>
          <w:tcPr>
            <w:tcW w:type="dxa" w:w="3324"/>
            <w:vAlign w:val="top"/>
          </w:tcPr>
          <w:p>
            <w:r/>
            <w:r>
              <w:rPr>
                <w:rFonts w:ascii="Arial" w:hAnsi="Arial"/>
                <w:b w:val="0"/>
                <w:sz w:val="18"/>
              </w:rPr>
              <w:t>LPH 3-5</w:t>
            </w:r>
          </w:p>
        </w:tc>
        <w:tc>
          <w:tcPr>
            <w:tcW w:type="dxa" w:w="3324"/>
            <w:vAlign w:val="top"/>
          </w:tcPr>
          <w:p>
            <w:r/>
            <w:r>
              <w:rPr>
                <w:rFonts w:ascii="Arial" w:hAnsi="Arial"/>
                <w:b w:val="0"/>
                <w:sz w:val="18"/>
              </w:rPr>
              <w:t>Entwurf, Planfeststellung, Ausführungsplanung, Planindex</w:t>
            </w:r>
          </w:p>
        </w:tc>
        <w:tc>
          <w:tcPr>
            <w:tcW w:type="dxa" w:w="3324"/>
            <w:vAlign w:val="top"/>
          </w:tcPr>
          <w:p>
            <w:r/>
            <w:r>
              <w:rPr>
                <w:rFonts w:ascii="Arial" w:hAnsi="Arial"/>
                <w:b w:val="0"/>
                <w:sz w:val="18"/>
              </w:rPr>
              <w:t>Welche Planstände sind freigegeben, welche Auflagen fehlen, welche Planänderung berührt den Bauablauf?</w:t>
            </w:r>
          </w:p>
        </w:tc>
      </w:tr>
      <w:tr>
        <w:tc>
          <w:tcPr>
            <w:tcW w:type="dxa" w:w="3324"/>
            <w:vAlign w:val="top"/>
          </w:tcPr>
          <w:p>
            <w:r/>
            <w:r>
              <w:rPr>
                <w:rFonts w:ascii="Arial" w:hAnsi="Arial"/>
                <w:b w:val="0"/>
                <w:sz w:val="18"/>
              </w:rPr>
              <w:t>LPH 6-7</w:t>
            </w:r>
          </w:p>
        </w:tc>
        <w:tc>
          <w:tcPr>
            <w:tcW w:type="dxa" w:w="3324"/>
            <w:vAlign w:val="top"/>
          </w:tcPr>
          <w:p>
            <w:r/>
            <w:r>
              <w:rPr>
                <w:rFonts w:ascii="Arial" w:hAnsi="Arial"/>
                <w:b w:val="0"/>
                <w:sz w:val="18"/>
              </w:rPr>
              <w:t>Vergabebekanntmachung, Teilnahmeantrag, LV, Wertung, Zuschlag</w:t>
            </w:r>
          </w:p>
        </w:tc>
        <w:tc>
          <w:tcPr>
            <w:tcW w:type="dxa" w:w="3324"/>
            <w:vAlign w:val="top"/>
          </w:tcPr>
          <w:p>
            <w:r/>
            <w:r>
              <w:rPr>
                <w:rFonts w:ascii="Arial" w:hAnsi="Arial"/>
                <w:b w:val="0"/>
                <w:sz w:val="18"/>
              </w:rPr>
              <w:t>Welche Risiken liegen in Eignung, Zuschlagskriterien, Bieterfragen, Nachprüfung und Standstill?</w:t>
            </w:r>
          </w:p>
        </w:tc>
      </w:tr>
      <w:tr>
        <w:tc>
          <w:tcPr>
            <w:tcW w:type="dxa" w:w="3324"/>
            <w:vAlign w:val="top"/>
          </w:tcPr>
          <w:p>
            <w:r/>
            <w:r>
              <w:rPr>
                <w:rFonts w:ascii="Arial" w:hAnsi="Arial"/>
                <w:b w:val="0"/>
                <w:sz w:val="18"/>
              </w:rPr>
              <w:t>LPH 8</w:t>
            </w:r>
          </w:p>
        </w:tc>
        <w:tc>
          <w:tcPr>
            <w:tcW w:type="dxa" w:w="3324"/>
            <w:vAlign w:val="top"/>
          </w:tcPr>
          <w:p>
            <w:r/>
            <w:r>
              <w:rPr>
                <w:rFonts w:ascii="Arial" w:hAnsi="Arial"/>
                <w:b w:val="0"/>
                <w:sz w:val="18"/>
              </w:rPr>
              <w:t>Bautagebuch, Bauüberwachung, Behinderungen, Nachträge, Kostenfortschreibung, Mängel</w:t>
            </w:r>
          </w:p>
        </w:tc>
        <w:tc>
          <w:tcPr>
            <w:tcW w:type="dxa" w:w="3324"/>
            <w:vAlign w:val="top"/>
          </w:tcPr>
          <w:p>
            <w:r/>
            <w:r>
              <w:rPr>
                <w:rFonts w:ascii="Arial" w:hAnsi="Arial"/>
                <w:b w:val="0"/>
                <w:sz w:val="18"/>
              </w:rPr>
              <w:t>Wie bleibt die Bauoberleitung in der Steuerung, ohne Planungsfehler, Nachtragsprüfung und Dokumentationslücken zu vermischen?</w:t>
            </w:r>
          </w:p>
        </w:tc>
      </w:tr>
      <w:tr>
        <w:tc>
          <w:tcPr>
            <w:tcW w:type="dxa" w:w="3324"/>
            <w:vAlign w:val="top"/>
          </w:tcPr>
          <w:p>
            <w:r/>
            <w:r>
              <w:rPr>
                <w:rFonts w:ascii="Arial" w:hAnsi="Arial"/>
                <w:b w:val="0"/>
                <w:sz w:val="18"/>
              </w:rPr>
              <w:t>LPH 9</w:t>
            </w:r>
          </w:p>
        </w:tc>
        <w:tc>
          <w:tcPr>
            <w:tcW w:type="dxa" w:w="3324"/>
            <w:vAlign w:val="top"/>
          </w:tcPr>
          <w:p>
            <w:r/>
            <w:r>
              <w:rPr>
                <w:rFonts w:ascii="Arial" w:hAnsi="Arial"/>
                <w:b w:val="0"/>
                <w:sz w:val="18"/>
              </w:rPr>
              <w:t>Monitoring, Setzungsmessung, Gewährleistung, Mängelverfolgung</w:t>
            </w:r>
          </w:p>
        </w:tc>
        <w:tc>
          <w:tcPr>
            <w:tcW w:type="dxa" w:w="3324"/>
            <w:vAlign w:val="top"/>
          </w:tcPr>
          <w:p>
            <w:r/>
            <w:r>
              <w:rPr>
                <w:rFonts w:ascii="Arial" w:hAnsi="Arial"/>
                <w:b w:val="0"/>
                <w:sz w:val="18"/>
              </w:rPr>
              <w:t>Welche Restleistungen und Risiken laufen in die Objektbetreuung?</w:t>
            </w:r>
          </w:p>
        </w:tc>
      </w:tr>
    </w:tbl>
    <w:p/>
    <w:p>
      <w:r>
        <w:rPr>
          <w:rFonts w:ascii="Arial" w:hAnsi="Arial"/>
          <w:b/>
          <w:color w:val="0F5F66"/>
          <w:sz w:val="24"/>
        </w:rPr>
        <w:t>Chronologie in Stichworten</w:t>
      </w:r>
    </w:p>
    <w:p>
      <w:pPr>
        <w:ind w:left="283" w:hanging="142"/>
      </w:pPr>
      <w:r>
        <w:rPr>
          <w:rFonts w:ascii="Arial" w:hAnsi="Arial"/>
          <w:sz w:val="20"/>
        </w:rPr>
        <w:t>• 05.11.2025: Projektfreigabe nach Variantenvergleich; Tunnelvariante wegen Naturschutz- und Immissionsbindung bevorzugt.</w:t>
      </w:r>
    </w:p>
    <w:p>
      <w:pPr>
        <w:ind w:left="283" w:hanging="142"/>
      </w:pPr>
      <w:r>
        <w:rPr>
          <w:rFonts w:ascii="Arial" w:hAnsi="Arial"/>
          <w:sz w:val="20"/>
        </w:rPr>
        <w:t>• 19.12.2025: Bekanntmachung EU-weites Verfahren mit vorgeschaltetem Teilnahmewettbewerb.</w:t>
      </w:r>
    </w:p>
    <w:p>
      <w:pPr>
        <w:ind w:left="283" w:hanging="142"/>
      </w:pPr>
      <w:r>
        <w:rPr>
          <w:rFonts w:ascii="Arial" w:hAnsi="Arial"/>
          <w:sz w:val="20"/>
        </w:rPr>
        <w:t>• 03.03.2026: Zuschlagsabsicht zugunsten der ARGE Mittelgebirge Tunnelbrücke; Rüge der Nordfels Infrastruktur GmbH &amp; Co. KG.</w:t>
      </w:r>
    </w:p>
    <w:p>
      <w:pPr>
        <w:ind w:left="283" w:hanging="142"/>
      </w:pPr>
      <w:r>
        <w:rPr>
          <w:rFonts w:ascii="Arial" w:hAnsi="Arial"/>
          <w:sz w:val="20"/>
        </w:rPr>
        <w:t>• 18.03.2026: Nachprüfungsantrag bei der Vergabekammer des Bundes; Stillhalte- und Akteneinsichtsfragen offen.</w:t>
      </w:r>
    </w:p>
    <w:p>
      <w:pPr>
        <w:ind w:left="283" w:hanging="142"/>
      </w:pPr>
      <w:r>
        <w:rPr>
          <w:rFonts w:ascii="Arial" w:hAnsi="Arial"/>
          <w:sz w:val="20"/>
        </w:rPr>
        <w:t>• 29.04.2026: Zuschlag nach beschränkter Korrektur der Wertungsmatrix und Vertragsschluss mit VOB/B-Einbeziehung.</w:t>
      </w:r>
    </w:p>
    <w:p>
      <w:pPr>
        <w:ind w:left="283" w:hanging="142"/>
      </w:pPr>
      <w:r>
        <w:rPr>
          <w:rFonts w:ascii="Arial" w:hAnsi="Arial"/>
          <w:sz w:val="20"/>
        </w:rPr>
        <w:t>• 12.06.2026: Quellhorizont im Tunnelvoreinschnitt und geänderte Wasserhaltung; Behinderungsanzeige und Nachtrag 01.</w:t>
      </w:r>
    </w:p>
    <w:p>
      <w:pPr>
        <w:ind w:left="283" w:hanging="142"/>
      </w:pPr>
      <w:r>
        <w:rPr>
          <w:rFonts w:ascii="Arial" w:hAnsi="Arial"/>
          <w:sz w:val="20"/>
        </w:rPr>
        <w:t>• 24.06.2026: Kampfmittelverdachtsfläche im Widerlagerbereich Achse 40; weitere Bauzeitreserve gefährdet.</w:t>
      </w:r>
    </w:p>
    <w:p>
      <w:pPr>
        <w:ind w:left="283" w:hanging="142"/>
      </w:pPr>
      <w:r>
        <w:rPr>
          <w:rFonts w:ascii="Arial" w:hAnsi="Arial"/>
          <w:sz w:val="20"/>
        </w:rPr>
        <w:t>• 03.07.2026: Bauoberleitung fordert Entscheidung, welche Vorgänge LPH 8 sind und welche als neue Planungs- oder Vergabeleistung behandelt werden müssen.</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