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rFonts w:ascii="Arial" w:hAnsi="Arial"/>
          <w:color w:val="5A5A5A"/>
          <w:sz w:val="16"/>
        </w:rPr>
        <w:t>Projektakte Fuchsbachtal / Hirschleite</w:t>
      </w:r>
      <w:r>
        <w:rPr>
          <w:rFonts w:ascii="Arial" w:hAnsi="Arial"/>
          <w:color w:val="5A5A5A"/>
          <w:sz w:val="16"/>
        </w:rPr>
        <w:t xml:space="preserve">    PLAN-RP-02</w:t>
      </w:r>
    </w:p>
    <w:p>
      <w:r>
        <w:rPr>
          <w:rFonts w:ascii="Arial" w:hAnsi="Arial"/>
          <w:b/>
          <w:color w:val="0F5F66"/>
          <w:sz w:val="32"/>
        </w:rPr>
        <w:t>Variantenentscheid und Entwurfsparameter LPH 2-3</w:t>
      </w:r>
    </w:p>
    <w:p>
      <w:r>
        <w:rPr>
          <w:rFonts w:ascii="Arial" w:hAnsi="Arial"/>
          <w:color w:val="505050"/>
          <w:sz w:val="20"/>
        </w:rPr>
        <w:t>A44 Ersatzneubau Talbrücke Fuchsbachtal und Tunnel Hirschleite</w:t>
      </w:r>
    </w:p>
    <w:p/>
    <w:p>
      <w:pPr>
        <w:spacing w:after="80"/>
      </w:pPr>
      <w:r>
        <w:rPr>
          <w:rFonts w:ascii="Arial" w:hAnsi="Arial"/>
          <w:b w:val="0"/>
          <w:sz w:val="20"/>
        </w:rPr>
        <w:t>Rother &amp; Partner legt der Projektsteuerung drei Varianten vor. Die Entscheidungsvorlage vom 12.11.2025 wurde im Lenkungskreis nur auszugsweise behandelt; mehrere Anmerkungen des Geotechnikers sind als Randnotizen im Planportal stehen geblieben.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994"/>
            <w:shd w:fill="F2F4F4"/>
            <w:vAlign w:val="top"/>
          </w:tcPr>
          <w:p>
            <w:r/>
            <w:r>
              <w:rPr>
                <w:rFonts w:ascii="Arial" w:hAnsi="Arial"/>
                <w:b/>
                <w:sz w:val="18"/>
              </w:rPr>
              <w:t>Variante</w:t>
            </w:r>
          </w:p>
        </w:tc>
        <w:tc>
          <w:tcPr>
            <w:tcW w:type="dxa" w:w="1994"/>
            <w:shd w:fill="F2F4F4"/>
            <w:vAlign w:val="top"/>
          </w:tcPr>
          <w:p>
            <w:r/>
            <w:r>
              <w:rPr>
                <w:rFonts w:ascii="Arial" w:hAnsi="Arial"/>
                <w:b/>
                <w:sz w:val="18"/>
              </w:rPr>
              <w:t>Beschreibung</w:t>
            </w:r>
          </w:p>
        </w:tc>
        <w:tc>
          <w:tcPr>
            <w:tcW w:type="dxa" w:w="1994"/>
            <w:shd w:fill="F2F4F4"/>
            <w:vAlign w:val="top"/>
          </w:tcPr>
          <w:p>
            <w:r/>
            <w:r>
              <w:rPr>
                <w:rFonts w:ascii="Arial" w:hAnsi="Arial"/>
                <w:b/>
                <w:sz w:val="18"/>
              </w:rPr>
              <w:t>Kostenrahmen netto</w:t>
            </w:r>
          </w:p>
        </w:tc>
        <w:tc>
          <w:tcPr>
            <w:tcW w:type="dxa" w:w="1994"/>
            <w:shd w:fill="F2F4F4"/>
            <w:vAlign w:val="top"/>
          </w:tcPr>
          <w:p>
            <w:r/>
            <w:r>
              <w:rPr>
                <w:rFonts w:ascii="Arial" w:hAnsi="Arial"/>
                <w:b/>
                <w:sz w:val="18"/>
              </w:rPr>
              <w:t>Termin</w:t>
            </w:r>
          </w:p>
        </w:tc>
        <w:tc>
          <w:tcPr>
            <w:tcW w:type="dxa" w:w="1994"/>
            <w:shd w:fill="F2F4F4"/>
            <w:vAlign w:val="top"/>
          </w:tcPr>
          <w:p>
            <w:r/>
            <w:r>
              <w:rPr>
                <w:rFonts w:ascii="Arial" w:hAnsi="Arial"/>
                <w:b/>
                <w:sz w:val="18"/>
              </w:rPr>
              <w:t>Bewertung</w:t>
            </w:r>
          </w:p>
        </w:tc>
      </w:tr>
      <w:tr>
        <w:tc>
          <w:tcPr>
            <w:tcW w:type="dxa" w:w="1994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A</w:t>
            </w:r>
          </w:p>
        </w:tc>
        <w:tc>
          <w:tcPr>
            <w:tcW w:type="dxa" w:w="1994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Ersatzbrücke ohne Tunnel, zusätzlicher Lärmschutzwall Wickerode</w:t>
            </w:r>
          </w:p>
        </w:tc>
        <w:tc>
          <w:tcPr>
            <w:tcW w:type="dxa" w:w="1994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142.0 Mio. EUR</w:t>
            </w:r>
          </w:p>
        </w:tc>
        <w:tc>
          <w:tcPr>
            <w:tcW w:type="dxa" w:w="1994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46 Monate</w:t>
            </w:r>
          </w:p>
        </w:tc>
        <w:tc>
          <w:tcPr>
            <w:tcW w:type="dxa" w:w="1994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Geringerer Tiefbauanteil, aber hohes Planfeststellungsrisiko</w:t>
            </w:r>
          </w:p>
        </w:tc>
      </w:tr>
      <w:tr>
        <w:tc>
          <w:tcPr>
            <w:tcW w:type="dxa" w:w="1994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B</w:t>
            </w:r>
          </w:p>
        </w:tc>
        <w:tc>
          <w:tcPr>
            <w:tcW w:type="dxa" w:w="1994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Talbrücke plus kurzer Tunnel Hirschleite, Regelquerschnitt RQ 31</w:t>
            </w:r>
          </w:p>
        </w:tc>
        <w:tc>
          <w:tcPr>
            <w:tcW w:type="dxa" w:w="1994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168.5 Mio. EUR</w:t>
            </w:r>
          </w:p>
        </w:tc>
        <w:tc>
          <w:tcPr>
            <w:tcW w:type="dxa" w:w="1994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52 Monate</w:t>
            </w:r>
          </w:p>
        </w:tc>
        <w:tc>
          <w:tcPr>
            <w:tcW w:type="dxa" w:w="1994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Vorzugsvariante; Baugrundzuschlag 9.8 Mio. EUR pauschal angesetzt</w:t>
            </w:r>
          </w:p>
        </w:tc>
      </w:tr>
      <w:tr>
        <w:tc>
          <w:tcPr>
            <w:tcW w:type="dxa" w:w="1994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C</w:t>
            </w:r>
          </w:p>
        </w:tc>
        <w:tc>
          <w:tcPr>
            <w:tcW w:type="dxa" w:w="1994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Langer Tunnel mit offenem Trog westlich, geringere Brückenlänge</w:t>
            </w:r>
          </w:p>
        </w:tc>
        <w:tc>
          <w:tcPr>
            <w:tcW w:type="dxa" w:w="1994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196.4 Mio. EUR</w:t>
            </w:r>
          </w:p>
        </w:tc>
        <w:tc>
          <w:tcPr>
            <w:tcW w:type="dxa" w:w="1994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61 Monate</w:t>
            </w:r>
          </w:p>
        </w:tc>
        <w:tc>
          <w:tcPr>
            <w:tcW w:type="dxa" w:w="1994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Naturschutz günstiger, Bauzeit und Bewetterung kritisch</w:t>
            </w:r>
          </w:p>
        </w:tc>
      </w:tr>
    </w:tbl>
    <w:p/>
    <w:p>
      <w:r>
        <w:rPr>
          <w:rFonts w:ascii="Arial" w:hAnsi="Arial"/>
          <w:b/>
          <w:color w:val="0F5F66"/>
          <w:sz w:val="24"/>
        </w:rPr>
        <w:t>Randnotizen aus dem Planportal</w:t>
      </w:r>
    </w:p>
    <w:p>
      <w:pPr>
        <w:ind w:left="283" w:hanging="142"/>
      </w:pPr>
      <w:r>
        <w:rPr>
          <w:rFonts w:ascii="Arial" w:hAnsi="Arial"/>
          <w:sz w:val="20"/>
        </w:rPr>
        <w:t>• Geotechnik: Karstlinse unter Portal West nicht ausschließen; ergänzende Kernbohrung KB 14a empfohlen.</w:t>
      </w:r>
    </w:p>
    <w:p>
      <w:pPr>
        <w:ind w:left="283" w:hanging="142"/>
      </w:pPr>
      <w:r>
        <w:rPr>
          <w:rFonts w:ascii="Arial" w:hAnsi="Arial"/>
          <w:sz w:val="20"/>
        </w:rPr>
        <w:t>• Verkehrsführung: Behelfsbrücke über Fuchsbach nur mit zusätzlichem Pfeiler im Überschwemmungsbereich möglich.</w:t>
      </w:r>
    </w:p>
    <w:p>
      <w:pPr>
        <w:ind w:left="283" w:hanging="142"/>
      </w:pPr>
      <w:r>
        <w:rPr>
          <w:rFonts w:ascii="Arial" w:hAnsi="Arial"/>
          <w:sz w:val="20"/>
        </w:rPr>
        <w:t>• Betriebstechnik: Tunnelsteuerung soll später in die Leitzentrale Baunatal integriert werden; IT-Schnittstelle noch nicht spezifiziert.</w:t>
      </w:r>
    </w:p>
    <w:p>
      <w:pPr>
        <w:ind w:left="283" w:hanging="142"/>
      </w:pPr>
      <w:r>
        <w:rPr>
          <w:rFonts w:ascii="Arial" w:hAnsi="Arial"/>
          <w:sz w:val="20"/>
        </w:rPr>
        <w:t>• Kosten: Indexsteigerung Stahl und Spritzbeton noch nicht in LPH-3-Kostenberechnung fortgeschrieben.</w:t>
      </w:r>
    </w:p>
    <w:sectPr w:rsidR="00FC693F" w:rsidRPr="0006063C" w:rsidSect="00034616">
      <w:pgSz w:w="12240" w:h="15840"/>
      <w:pgMar w:top="907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