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FBA-PF-03</w:t>
      </w:r>
    </w:p>
    <w:p>
      <w:r>
        <w:rPr>
          <w:rFonts w:ascii="Arial" w:hAnsi="Arial"/>
          <w:b/>
          <w:color w:val="0F5F66"/>
          <w:sz w:val="32"/>
        </w:rPr>
        <w:t>Planfeststellung, Auflagen und Genehmigungsstand LPH 4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Auszug aus der Auflagenliste des Planfeststellungsbeschlusses des Fernstraßen-Bundesamts. Die Liste wurde aus dem Planportal in den Vergabeordner übernommen; einzelne Nebenbestimmungen sind im LV nur allgemein erwähnt.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Auflage</w:t>
            </w:r>
          </w:p>
        </w:tc>
        <w:tc>
          <w:tcPr>
            <w:tcW w:type="dxa" w:w="2493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Inhalt</w:t>
            </w:r>
          </w:p>
        </w:tc>
        <w:tc>
          <w:tcPr>
            <w:tcW w:type="dxa" w:w="2493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Vergaberelevanz</w:t>
            </w:r>
          </w:p>
        </w:tc>
        <w:tc>
          <w:tcPr>
            <w:tcW w:type="dxa" w:w="2493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Bauüberwachung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3.2 Wasserhaltung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Einleitung von Tunnelwasser nur nach Vorreinigung, Messung Leitfähigkeit und Trübung täglich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Positionen 03.04.120 und 03.04.130 enthalten nur pauschale Vorhaltung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Tagesprotokoll Wasserhaltung erforderlich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4.7 Fledermausfenster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Rodung und Portalbeleuchtung nur außerhalb Schutzfenster; Lichtfarbe max. 2700 K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Bauzeitfenster in Besonderen Vertragsbedingungen genannt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Fotodokumentation und Umweltbaubegleitung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6.1 Verkehr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Umleitungsstrecke K 18 mit Ampelsteuerung und Schwerlastverbot über 40 t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Bieterfrage 17 betrifft Materialtransport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Kontrolle Logistikfenster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8.4 Erschütterung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Messstellen an drei Wohngebäuden Wickerode, Warnwert 3 mm/s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Nebenleistung? Messkonzept nicht eindeutig bepreist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Messprotokoll vor Spreng- oder Meißelarbeiten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Die Projektsteuerung bittet um Prüfung, welche Auflagen bereits in der Ausschreibung kalkulierbar beschrieben sind und welche später als zusätzliche Anordnung, geänderte Leistung oder besondere Leistung der Objektüberwachung auftauchen können.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