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VST-BED-06</w:t>
      </w:r>
    </w:p>
    <w:p>
      <w:r>
        <w:rPr>
          <w:rFonts w:ascii="Arial" w:hAnsi="Arial"/>
          <w:b/>
          <w:color w:val="0F5F66"/>
          <w:sz w:val="32"/>
        </w:rPr>
        <w:t>Bewerbungsbedingungen und Teilnahmewettbewerb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Die Bewerbungsbedingungen beschreiben die Stufe 1 des Verfahrens. Die Unterlage ist im Datenraum in Version 2.3 vorhanden; die ältere Version 2.1 enthält noch ein abweichendes Mindestkriterium für Tunnelreferenzen.</w:t>
      </w:r>
    </w:p>
    <w:p>
      <w:r>
        <w:rPr>
          <w:rFonts w:ascii="Arial" w:hAnsi="Arial"/>
          <w:b/>
          <w:color w:val="0F5F66"/>
          <w:sz w:val="24"/>
        </w:rPr>
        <w:t>Mindestanforderungen</w:t>
      </w:r>
    </w:p>
    <w:p>
      <w:pPr>
        <w:ind w:left="283" w:hanging="142"/>
      </w:pPr>
      <w:r>
        <w:rPr>
          <w:rFonts w:ascii="Arial" w:hAnsi="Arial"/>
          <w:sz w:val="20"/>
        </w:rPr>
        <w:t>• Umsatz Bauleistungen Infrastruktur in den letzten drei abgeschlossenen Geschäftsjahren mindestens 180 Mio. EUR im Mittel.</w:t>
      </w:r>
    </w:p>
    <w:p>
      <w:pPr>
        <w:ind w:left="283" w:hanging="142"/>
      </w:pPr>
      <w:r>
        <w:rPr>
          <w:rFonts w:ascii="Arial" w:hAnsi="Arial"/>
          <w:sz w:val="20"/>
        </w:rPr>
        <w:t>• Eine Brückenreferenz mit Spannweite über 80 m und Gesamtbauwerkslänge über 300 m, Abnahme nicht älter als acht Jahre.</w:t>
      </w:r>
    </w:p>
    <w:p>
      <w:pPr>
        <w:ind w:left="283" w:hanging="142"/>
      </w:pPr>
      <w:r>
        <w:rPr>
          <w:rFonts w:ascii="Arial" w:hAnsi="Arial"/>
          <w:sz w:val="20"/>
        </w:rPr>
        <w:t>• Eine Tunnelreferenz mit bergmännischem Vortrieb oder vergleichbarer Sicherung in quellfähigem Gebirge; Bauzeitanteil nicht nur Nachunternehmersteuerung.</w:t>
      </w:r>
    </w:p>
    <w:p>
      <w:pPr>
        <w:ind w:left="283" w:hanging="142"/>
      </w:pPr>
      <w:r>
        <w:rPr>
          <w:rFonts w:ascii="Arial" w:hAnsi="Arial"/>
          <w:sz w:val="20"/>
        </w:rPr>
        <w:t>• Verfügbarkeit eines verantwortlichen Bauleiters mit deutscher Baustellensprache C1 oder gleichwertiger Projekterfahrung in deutschsprachiger Projektkommunikation.</w:t>
      </w:r>
    </w:p>
    <w:p>
      <w:r>
        <w:rPr>
          <w:rFonts w:ascii="Arial" w:hAnsi="Arial"/>
          <w:b/>
          <w:color w:val="0F5F66"/>
          <w:sz w:val="24"/>
        </w:rPr>
        <w:t>Hinweise zur Angebotsphase</w:t>
      </w:r>
    </w:p>
    <w:p>
      <w:pPr>
        <w:spacing w:after="80"/>
      </w:pPr>
      <w:r>
        <w:rPr>
          <w:rFonts w:ascii="Arial" w:hAnsi="Arial"/>
          <w:b w:val="0"/>
          <w:sz w:val="20"/>
        </w:rPr>
        <w:t>Das Leistungsverzeichnis enthält Preisfelder ohne Mengenrisikoübernahme für unbekannte Schadstoff- und Wasserhaltungszustände. Bieter sollen Widersprüche bis spätestens 26.01.2026 über die Vergabeplattform melden. Spätere Hinweise werden nur berücksichtigt, soweit sie objektiv erst später erkennbar waren.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