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5A5A5A"/>
          <w:sz w:val="16"/>
        </w:rPr>
        <w:t>Projektakte Fuchsbachtal / Hirschleite</w:t>
      </w:r>
      <w:r>
        <w:rPr>
          <w:rFonts w:ascii="Arial" w:hAnsi="Arial"/>
          <w:color w:val="5A5A5A"/>
          <w:sz w:val="16"/>
        </w:rPr>
        <w:t xml:space="preserve">    BIETER-ARGE-09</w:t>
      </w:r>
    </w:p>
    <w:p>
      <w:r>
        <w:rPr>
          <w:rFonts w:ascii="Arial" w:hAnsi="Arial"/>
          <w:b/>
          <w:color w:val="0F5F66"/>
          <w:sz w:val="32"/>
        </w:rPr>
        <w:t>Teilnahmeantrag der ARGE Mittelgebirge Tunnelbrücke</w:t>
      </w:r>
    </w:p>
    <w:p>
      <w:r>
        <w:rPr>
          <w:rFonts w:ascii="Arial" w:hAnsi="Arial"/>
          <w:color w:val="505050"/>
          <w:sz w:val="20"/>
        </w:rPr>
        <w:t>A44 Ersatzneubau Talbrücke Fuchsbachtal und Tunnel Hirschleite</w:t>
      </w:r>
    </w:p>
    <w:p/>
    <w:p>
      <w:pPr>
        <w:spacing w:after="80"/>
      </w:pPr>
      <w:r>
        <w:rPr>
          <w:rFonts w:ascii="Arial" w:hAnsi="Arial"/>
          <w:b w:val="0"/>
          <w:sz w:val="20"/>
        </w:rPr>
        <w:t>Die ARGE Mittelgebirge Tunnelbrücke, Federführung Helbing Bau AG bewirbt sich um Teilnahme am Verhandlungsverfahren. Federführendes Mitglied ist die Helbing Bau AG, technische Partner sind Krämer Tunnelbau GmbH und Saale Stahlbrückenbau GmbH.</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2F4F4"/>
            <w:vAlign w:val="top"/>
          </w:tcPr>
          <w:p>
            <w:r/>
            <w:r>
              <w:rPr>
                <w:rFonts w:ascii="Arial" w:hAnsi="Arial"/>
                <w:b/>
                <w:sz w:val="18"/>
              </w:rPr>
              <w:t>Eignungsbereich</w:t>
            </w:r>
          </w:p>
        </w:tc>
        <w:tc>
          <w:tcPr>
            <w:tcW w:type="dxa" w:w="3324"/>
            <w:shd w:fill="F2F4F4"/>
            <w:vAlign w:val="top"/>
          </w:tcPr>
          <w:p>
            <w:r/>
            <w:r>
              <w:rPr>
                <w:rFonts w:ascii="Arial" w:hAnsi="Arial"/>
                <w:b/>
                <w:sz w:val="18"/>
              </w:rPr>
              <w:t>Angabe der ARGE</w:t>
            </w:r>
          </w:p>
        </w:tc>
        <w:tc>
          <w:tcPr>
            <w:tcW w:type="dxa" w:w="3324"/>
            <w:shd w:fill="F2F4F4"/>
            <w:vAlign w:val="top"/>
          </w:tcPr>
          <w:p>
            <w:r/>
            <w:r>
              <w:rPr>
                <w:rFonts w:ascii="Arial" w:hAnsi="Arial"/>
                <w:b/>
                <w:sz w:val="18"/>
              </w:rPr>
              <w:t>Anlage</w:t>
            </w:r>
          </w:p>
        </w:tc>
      </w:tr>
      <w:tr>
        <w:tc>
          <w:tcPr>
            <w:tcW w:type="dxa" w:w="3324"/>
            <w:vAlign w:val="top"/>
          </w:tcPr>
          <w:p>
            <w:r/>
            <w:r>
              <w:rPr>
                <w:rFonts w:ascii="Arial" w:hAnsi="Arial"/>
                <w:b w:val="0"/>
                <w:sz w:val="18"/>
              </w:rPr>
              <w:t>Umsatz</w:t>
            </w:r>
          </w:p>
        </w:tc>
        <w:tc>
          <w:tcPr>
            <w:tcW w:type="dxa" w:w="3324"/>
            <w:vAlign w:val="top"/>
          </w:tcPr>
          <w:p>
            <w:r/>
            <w:r>
              <w:rPr>
                <w:rFonts w:ascii="Arial" w:hAnsi="Arial"/>
                <w:b w:val="0"/>
                <w:sz w:val="18"/>
              </w:rPr>
              <w:t>Durchschnitt 2023-2025: 246.8 Mio. EUR Bauleistung Infrastruktur</w:t>
            </w:r>
          </w:p>
        </w:tc>
        <w:tc>
          <w:tcPr>
            <w:tcW w:type="dxa" w:w="3324"/>
            <w:vAlign w:val="top"/>
          </w:tcPr>
          <w:p>
            <w:r/>
            <w:r>
              <w:rPr>
                <w:rFonts w:ascii="Arial" w:hAnsi="Arial"/>
                <w:b w:val="0"/>
                <w:sz w:val="18"/>
              </w:rPr>
              <w:t>A-1 testierte Umsatzerklärungen</w:t>
            </w:r>
          </w:p>
        </w:tc>
      </w:tr>
      <w:tr>
        <w:tc>
          <w:tcPr>
            <w:tcW w:type="dxa" w:w="3324"/>
            <w:vAlign w:val="top"/>
          </w:tcPr>
          <w:p>
            <w:r/>
            <w:r>
              <w:rPr>
                <w:rFonts w:ascii="Arial" w:hAnsi="Arial"/>
                <w:b w:val="0"/>
                <w:sz w:val="18"/>
              </w:rPr>
              <w:t>Brückenreferenz</w:t>
            </w:r>
          </w:p>
        </w:tc>
        <w:tc>
          <w:tcPr>
            <w:tcW w:type="dxa" w:w="3324"/>
            <w:vAlign w:val="top"/>
          </w:tcPr>
          <w:p>
            <w:r/>
            <w:r>
              <w:rPr>
                <w:rFonts w:ascii="Arial" w:hAnsi="Arial"/>
                <w:b w:val="0"/>
                <w:sz w:val="18"/>
              </w:rPr>
              <w:t>Talbrücke Werratal Süd, 386 m, Stahlverbund, Abnahme 2023</w:t>
            </w:r>
          </w:p>
        </w:tc>
        <w:tc>
          <w:tcPr>
            <w:tcW w:type="dxa" w:w="3324"/>
            <w:vAlign w:val="top"/>
          </w:tcPr>
          <w:p>
            <w:r/>
            <w:r>
              <w:rPr>
                <w:rFonts w:ascii="Arial" w:hAnsi="Arial"/>
                <w:b w:val="0"/>
                <w:sz w:val="18"/>
              </w:rPr>
              <w:t>A-4 Referenzblatt mit Abnahmeprotokoll</w:t>
            </w:r>
          </w:p>
        </w:tc>
      </w:tr>
      <w:tr>
        <w:tc>
          <w:tcPr>
            <w:tcW w:type="dxa" w:w="3324"/>
            <w:vAlign w:val="top"/>
          </w:tcPr>
          <w:p>
            <w:r/>
            <w:r>
              <w:rPr>
                <w:rFonts w:ascii="Arial" w:hAnsi="Arial"/>
                <w:b w:val="0"/>
                <w:sz w:val="18"/>
              </w:rPr>
              <w:t>Tunnelreferenz</w:t>
            </w:r>
          </w:p>
        </w:tc>
        <w:tc>
          <w:tcPr>
            <w:tcW w:type="dxa" w:w="3324"/>
            <w:vAlign w:val="top"/>
          </w:tcPr>
          <w:p>
            <w:r/>
            <w:r>
              <w:rPr>
                <w:rFonts w:ascii="Arial" w:hAnsi="Arial"/>
                <w:b w:val="0"/>
                <w:sz w:val="18"/>
              </w:rPr>
              <w:t>Tunnel Hohenwart, 740 m, quellfähiger Tonstein, Vortrieb 2021-2023</w:t>
            </w:r>
          </w:p>
        </w:tc>
        <w:tc>
          <w:tcPr>
            <w:tcW w:type="dxa" w:w="3324"/>
            <w:vAlign w:val="top"/>
          </w:tcPr>
          <w:p>
            <w:r/>
            <w:r>
              <w:rPr>
                <w:rFonts w:ascii="Arial" w:hAnsi="Arial"/>
                <w:b w:val="0"/>
                <w:sz w:val="18"/>
              </w:rPr>
              <w:t>A-6 Projektbestätigung öffentlicher Auftraggeber</w:t>
            </w:r>
          </w:p>
        </w:tc>
      </w:tr>
      <w:tr>
        <w:tc>
          <w:tcPr>
            <w:tcW w:type="dxa" w:w="3324"/>
            <w:vAlign w:val="top"/>
          </w:tcPr>
          <w:p>
            <w:r/>
            <w:r>
              <w:rPr>
                <w:rFonts w:ascii="Arial" w:hAnsi="Arial"/>
                <w:b w:val="0"/>
                <w:sz w:val="18"/>
              </w:rPr>
              <w:t>Personal</w:t>
            </w:r>
          </w:p>
        </w:tc>
        <w:tc>
          <w:tcPr>
            <w:tcW w:type="dxa" w:w="3324"/>
            <w:vAlign w:val="top"/>
          </w:tcPr>
          <w:p>
            <w:r/>
            <w:r>
              <w:rPr>
                <w:rFonts w:ascii="Arial" w:hAnsi="Arial"/>
                <w:b w:val="0"/>
                <w:sz w:val="18"/>
              </w:rPr>
              <w:t>Bauleiter Ing. M. Rabanus, 18 Jahre Tunnel- und Brückenbau, deutschsprachige Projektkommunikation</w:t>
            </w:r>
          </w:p>
        </w:tc>
        <w:tc>
          <w:tcPr>
            <w:tcW w:type="dxa" w:w="3324"/>
            <w:vAlign w:val="top"/>
          </w:tcPr>
          <w:p>
            <w:r/>
            <w:r>
              <w:rPr>
                <w:rFonts w:ascii="Arial" w:hAnsi="Arial"/>
                <w:b w:val="0"/>
                <w:sz w:val="18"/>
              </w:rPr>
              <w:t>A-8 Lebenslauf und Einsatzbestätigung</w:t>
            </w:r>
          </w:p>
        </w:tc>
      </w:tr>
      <w:tr>
        <w:tc>
          <w:tcPr>
            <w:tcW w:type="dxa" w:w="3324"/>
            <w:vAlign w:val="top"/>
          </w:tcPr>
          <w:p>
            <w:r/>
            <w:r>
              <w:rPr>
                <w:rFonts w:ascii="Arial" w:hAnsi="Arial"/>
                <w:b w:val="0"/>
                <w:sz w:val="18"/>
              </w:rPr>
              <w:t>Nachunternehmer</w:t>
            </w:r>
          </w:p>
        </w:tc>
        <w:tc>
          <w:tcPr>
            <w:tcW w:type="dxa" w:w="3324"/>
            <w:vAlign w:val="top"/>
          </w:tcPr>
          <w:p>
            <w:r/>
            <w:r>
              <w:rPr>
                <w:rFonts w:ascii="Arial" w:hAnsi="Arial"/>
                <w:b w:val="0"/>
                <w:sz w:val="18"/>
              </w:rPr>
              <w:t>Hess HydroTec GmbH für Wasserhaltung, nicht eignungstragend benannt</w:t>
            </w:r>
          </w:p>
        </w:tc>
        <w:tc>
          <w:tcPr>
            <w:tcW w:type="dxa" w:w="3324"/>
            <w:vAlign w:val="top"/>
          </w:tcPr>
          <w:p>
            <w:r/>
            <w:r>
              <w:rPr>
                <w:rFonts w:ascii="Arial" w:hAnsi="Arial"/>
                <w:b w:val="0"/>
                <w:sz w:val="18"/>
              </w:rPr>
              <w:t>A-11 Verpflichtungserklärung</w:t>
            </w:r>
          </w:p>
        </w:tc>
      </w:tr>
    </w:tbl>
    <w:p/>
    <w:p>
      <w:pPr>
        <w:spacing w:after="80"/>
      </w:pPr>
      <w:r>
        <w:rPr>
          <w:rFonts w:ascii="Arial" w:hAnsi="Arial"/>
          <w:b w:val="0"/>
          <w:sz w:val="20"/>
        </w:rPr>
        <w:t>Im Anschreiben weist die ARGE darauf hin, dass die Wasserhaltung aus ihrer Sicht nur mit einer Risikobegrenzung kalkulierbar ist. Die Vergabestelle hat diesen Hinweis nicht in die Eignungsprüfung übernommen, sondern erst in der Angebotsaufklärung wieder aufgegriffen.</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