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5A5A5A"/>
          <w:sz w:val="16"/>
        </w:rPr>
        <w:t>Projektakte Fuchsbachtal / Hirschleite</w:t>
      </w:r>
      <w:r>
        <w:rPr>
          <w:rFonts w:ascii="Arial" w:hAnsi="Arial"/>
          <w:color w:val="5A5A5A"/>
          <w:sz w:val="16"/>
        </w:rPr>
        <w:t xml:space="preserve">    ANG-ARGE-11</w:t>
      </w:r>
    </w:p>
    <w:p>
      <w:r>
        <w:rPr>
          <w:rFonts w:ascii="Arial" w:hAnsi="Arial"/>
          <w:b/>
          <w:color w:val="0F5F66"/>
          <w:sz w:val="32"/>
        </w:rPr>
        <w:t>Angebotsschreiben und Aufklärung der ARGE</w:t>
      </w:r>
    </w:p>
    <w:p>
      <w:r>
        <w:rPr>
          <w:rFonts w:ascii="Arial" w:hAnsi="Arial"/>
          <w:color w:val="505050"/>
          <w:sz w:val="20"/>
        </w:rPr>
        <w:t>A44 Ersatzneubau Talbrücke Fuchsbachtal und Tunnel Hirschleite</w:t>
      </w:r>
    </w:p>
    <w:p/>
    <w:p>
      <w:pPr>
        <w:spacing w:after="80"/>
      </w:pPr>
      <w:r>
        <w:rPr>
          <w:rFonts w:ascii="Arial" w:hAnsi="Arial"/>
          <w:b w:val="0"/>
          <w:sz w:val="20"/>
        </w:rPr>
        <w:t>Die ARGE Mittelgebirge Tunnelbrücke gibt das finale Angebot am 18.02.2026 ab. Das Schreiben enthält technische Vorbehalte, die nicht als formaler Vorbehalt gekennzeichnet sind, aber für die spätere Nachtragslage wichtig werden.</w:t>
      </w:r>
    </w:p>
    <w:tbl>
      <w:tblPr>
        <w:tblStyle w:val="TableGrid"/>
        <w:tblW w:type="auto" w:w="0"/>
        <w:jc w:val="center"/>
        <w:tblLook w:firstColumn="1" w:firstRow="1" w:lastColumn="0" w:lastRow="0" w:noHBand="0" w:noVBand="1" w:val="04A0"/>
      </w:tblPr>
      <w:tblGrid>
        <w:gridCol w:w="4986"/>
        <w:gridCol w:w="4986"/>
      </w:tblGrid>
      <w:tr>
        <w:tc>
          <w:tcPr>
            <w:tcW w:type="dxa" w:w="4986"/>
            <w:shd w:fill="F2F4F4"/>
            <w:vAlign w:val="top"/>
          </w:tcPr>
          <w:p>
            <w:r/>
            <w:r>
              <w:rPr>
                <w:rFonts w:ascii="Arial" w:hAnsi="Arial"/>
                <w:b/>
                <w:sz w:val="18"/>
              </w:rPr>
              <w:t>Position</w:t>
            </w:r>
          </w:p>
        </w:tc>
        <w:tc>
          <w:tcPr>
            <w:tcW w:type="dxa" w:w="4986"/>
            <w:shd w:fill="F2F4F4"/>
            <w:vAlign w:val="top"/>
          </w:tcPr>
          <w:p>
            <w:r/>
            <w:r>
              <w:rPr>
                <w:rFonts w:ascii="Arial" w:hAnsi="Arial"/>
                <w:b/>
                <w:sz w:val="18"/>
              </w:rPr>
              <w:t>Angebotsinhalt</w:t>
            </w:r>
          </w:p>
        </w:tc>
      </w:tr>
      <w:tr>
        <w:tc>
          <w:tcPr>
            <w:tcW w:type="dxa" w:w="4986"/>
            <w:vAlign w:val="top"/>
          </w:tcPr>
          <w:p>
            <w:r/>
            <w:r>
              <w:rPr>
                <w:rFonts w:ascii="Arial" w:hAnsi="Arial"/>
                <w:b w:val="0"/>
                <w:sz w:val="18"/>
              </w:rPr>
              <w:t>Angebotssumme netto</w:t>
            </w:r>
          </w:p>
        </w:tc>
        <w:tc>
          <w:tcPr>
            <w:tcW w:type="dxa" w:w="4986"/>
            <w:vAlign w:val="top"/>
          </w:tcPr>
          <w:p>
            <w:r/>
            <w:r>
              <w:rPr>
                <w:rFonts w:ascii="Arial" w:hAnsi="Arial"/>
                <w:b w:val="0"/>
                <w:sz w:val="18"/>
              </w:rPr>
              <w:t>173.920.000 EUR</w:t>
            </w:r>
          </w:p>
        </w:tc>
      </w:tr>
      <w:tr>
        <w:tc>
          <w:tcPr>
            <w:tcW w:type="dxa" w:w="4986"/>
            <w:vAlign w:val="top"/>
          </w:tcPr>
          <w:p>
            <w:r/>
            <w:r>
              <w:rPr>
                <w:rFonts w:ascii="Arial" w:hAnsi="Arial"/>
                <w:b w:val="0"/>
                <w:sz w:val="18"/>
              </w:rPr>
              <w:t>Bauzeit</w:t>
            </w:r>
          </w:p>
        </w:tc>
        <w:tc>
          <w:tcPr>
            <w:tcW w:type="dxa" w:w="4986"/>
            <w:vAlign w:val="top"/>
          </w:tcPr>
          <w:p>
            <w:r/>
            <w:r>
              <w:rPr>
                <w:rFonts w:ascii="Arial" w:hAnsi="Arial"/>
                <w:b w:val="0"/>
                <w:sz w:val="18"/>
              </w:rPr>
              <w:t>50 Monate ab Anordnung Baubeginn, davon 16 Monate Tunnelvortrieb und 14 Monate Brückenmontage</w:t>
            </w:r>
          </w:p>
        </w:tc>
      </w:tr>
      <w:tr>
        <w:tc>
          <w:tcPr>
            <w:tcW w:type="dxa" w:w="4986"/>
            <w:vAlign w:val="top"/>
          </w:tcPr>
          <w:p>
            <w:r/>
            <w:r>
              <w:rPr>
                <w:rFonts w:ascii="Arial" w:hAnsi="Arial"/>
                <w:b w:val="0"/>
                <w:sz w:val="18"/>
              </w:rPr>
              <w:t>Wasserhaltung</w:t>
            </w:r>
          </w:p>
        </w:tc>
        <w:tc>
          <w:tcPr>
            <w:tcW w:type="dxa" w:w="4986"/>
            <w:vAlign w:val="top"/>
          </w:tcPr>
          <w:p>
            <w:r/>
            <w:r>
              <w:rPr>
                <w:rFonts w:ascii="Arial" w:hAnsi="Arial"/>
                <w:b w:val="0"/>
                <w:sz w:val="18"/>
              </w:rPr>
              <w:t>Kalkulation auf Grundlage Baugrundgutachten B-04, keine Dauerwasserführung über 18 l/s angesetzt</w:t>
            </w:r>
          </w:p>
        </w:tc>
      </w:tr>
      <w:tr>
        <w:tc>
          <w:tcPr>
            <w:tcW w:type="dxa" w:w="4986"/>
            <w:vAlign w:val="top"/>
          </w:tcPr>
          <w:p>
            <w:r/>
            <w:r>
              <w:rPr>
                <w:rFonts w:ascii="Arial" w:hAnsi="Arial"/>
                <w:b w:val="0"/>
                <w:sz w:val="18"/>
              </w:rPr>
              <w:t>Verkehrsführung</w:t>
            </w:r>
          </w:p>
        </w:tc>
        <w:tc>
          <w:tcPr>
            <w:tcW w:type="dxa" w:w="4986"/>
            <w:vAlign w:val="top"/>
          </w:tcPr>
          <w:p>
            <w:r/>
            <w:r>
              <w:rPr>
                <w:rFonts w:ascii="Arial" w:hAnsi="Arial"/>
                <w:b w:val="0"/>
                <w:sz w:val="18"/>
              </w:rPr>
              <w:t>Nachtfenster und sechs Wochenendsperrungen eingepreist; zusätzliche Sperrungen nur nach Anordnung</w:t>
            </w:r>
          </w:p>
        </w:tc>
      </w:tr>
      <w:tr>
        <w:tc>
          <w:tcPr>
            <w:tcW w:type="dxa" w:w="4986"/>
            <w:vAlign w:val="top"/>
          </w:tcPr>
          <w:p>
            <w:r/>
            <w:r>
              <w:rPr>
                <w:rFonts w:ascii="Arial" w:hAnsi="Arial"/>
                <w:b w:val="0"/>
                <w:sz w:val="18"/>
              </w:rPr>
              <w:t>Bauüberwachungsschnittstelle</w:t>
            </w:r>
          </w:p>
        </w:tc>
        <w:tc>
          <w:tcPr>
            <w:tcW w:type="dxa" w:w="4986"/>
            <w:vAlign w:val="top"/>
          </w:tcPr>
          <w:p>
            <w:r/>
            <w:r>
              <w:rPr>
                <w:rFonts w:ascii="Arial" w:hAnsi="Arial"/>
                <w:b w:val="0"/>
                <w:sz w:val="18"/>
              </w:rPr>
              <w:t>Täglicher Upload Bautagebuch, Fotolog, Planstand, Behinderungs- und Nachtragsregister</w:t>
            </w:r>
          </w:p>
        </w:tc>
      </w:tr>
    </w:tbl>
    <w:p/>
    <w:p>
      <w:pPr>
        <w:spacing w:after="80"/>
      </w:pPr>
      <w:r>
        <w:rPr>
          <w:rFonts w:ascii="Arial" w:hAnsi="Arial"/>
          <w:b w:val="0"/>
          <w:sz w:val="20"/>
        </w:rPr>
        <w:t>Die Angebotsaufklärung vom 25.02.2026 fragt, ob der Satz zur Dauerwasserführung als Vorbehalt zu verstehen sei. Die ARGE antwortet, es handele sich um eine Kalkulationsgrundlage, nicht um eine Bedingung. Diese Formulierung taucht später in Nachtrag 01 wieder auf.</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