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VK-ANTRAG-16</w:t>
      </w:r>
    </w:p>
    <w:p>
      <w:r>
        <w:rPr>
          <w:rFonts w:ascii="Arial" w:hAnsi="Arial"/>
          <w:b/>
          <w:color w:val="0F5F66"/>
          <w:sz w:val="32"/>
        </w:rPr>
        <w:t>Nachprüfungsantrag Nordfels, Entwurfsfassung aus Aktenportal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Nordfels beantragt die Einleitung eines Nachprüfungsverfahrens. Der Antrag wird als aus dem Portal exportierte Entwurfsfassung geführt; Anlagenverweise sind teilweise noch nicht sauber nummeriert.</w:t>
      </w:r>
    </w:p>
    <w:p>
      <w:r>
        <w:rPr>
          <w:rFonts w:ascii="Arial" w:hAnsi="Arial"/>
          <w:b/>
          <w:color w:val="0F5F66"/>
          <w:sz w:val="24"/>
        </w:rPr>
        <w:t>Anträge</w:t>
      </w:r>
    </w:p>
    <w:p>
      <w:pPr>
        <w:ind w:left="283" w:hanging="142"/>
      </w:pPr>
      <w:r>
        <w:rPr>
          <w:rFonts w:ascii="Arial" w:hAnsi="Arial"/>
          <w:sz w:val="20"/>
        </w:rPr>
        <w:t>• Der Auftraggeberin wird untersagt, den Zuschlag auf das Angebot der ARGE Mittelgebirge Tunnelbrücke zu erteilen.</w:t>
      </w:r>
    </w:p>
    <w:p>
      <w:pPr>
        <w:ind w:left="283" w:hanging="142"/>
      </w:pPr>
      <w:r>
        <w:rPr>
          <w:rFonts w:ascii="Arial" w:hAnsi="Arial"/>
          <w:sz w:val="20"/>
        </w:rPr>
        <w:t>• Die Auftraggeberin wird verpflichtet, die Wertung unter Beachtung der Rechtsauffassung der Vergabekammer zu wiederholen.</w:t>
      </w:r>
    </w:p>
    <w:p>
      <w:pPr>
        <w:ind w:left="283" w:hanging="142"/>
      </w:pPr>
      <w:r>
        <w:rPr>
          <w:rFonts w:ascii="Arial" w:hAnsi="Arial"/>
          <w:sz w:val="20"/>
        </w:rPr>
        <w:t>• Hilfsweise wird festgestellt, dass die Dokumentation der Zuschlagswertung unzureichend ist.</w:t>
      </w:r>
    </w:p>
    <w:p>
      <w:r>
        <w:rPr>
          <w:rFonts w:ascii="Arial" w:hAnsi="Arial"/>
          <w:b/>
          <w:color w:val="0F5F66"/>
          <w:sz w:val="24"/>
        </w:rPr>
        <w:t>Begründungsauszug</w:t>
      </w:r>
    </w:p>
    <w:p>
      <w:pPr>
        <w:spacing w:after="80"/>
      </w:pPr>
      <w:r>
        <w:rPr>
          <w:rFonts w:ascii="Arial" w:hAnsi="Arial"/>
          <w:b w:val="0"/>
          <w:sz w:val="20"/>
        </w:rPr>
        <w:t>Die Antragstellerin trägt vor, sie habe erst mit dem Informationsschreiben von der intransparenten Unterbewertung ihres Wasserhaltungskonzepts erfahren. Die Rüge sei unverzüglich erfolgt. Das Kriterium Baugrund/Wasserhaltung sei in der Bekanntmachung und den Bewerbungsbedingungen nur allgemein beschrieben, später aber als differenziertes Risikomanagementkriterium angewandt worden.</w:t>
      </w:r>
    </w:p>
    <w:p>
      <w:pPr>
        <w:spacing w:after="80"/>
      </w:pPr>
      <w:r>
        <w:rPr>
          <w:rFonts w:ascii="Arial" w:hAnsi="Arial"/>
          <w:b w:val="0"/>
          <w:sz w:val="20"/>
        </w:rPr>
        <w:t>Zum Angebot der ARGE macht Nordfels geltend, der Hinweis auf eine Dauerwasserführung über 18 l/s sei ein kalkulatorischer Vorbehalt. Das Angebot müsse ausgeschlossen werden, weil es nicht vorbehaltlos sei. Die Vergabestelle hält dem entgegen, dass alle Bieter auf Bieterfrage 14 denselben Hinweis erhalten hätten.</w:t>
      </w:r>
    </w:p>
    <w:sectPr w:rsidR="00FC693F" w:rsidRPr="0006063C" w:rsidSect="00034616">
      <w:pgSz w:w="12240" w:h="15840"/>
      <w:pgMar w:top="907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