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color w:val="5A5A5A"/>
          <w:sz w:val="16"/>
        </w:rPr>
        <w:t>Projektakte Fuchsbachtal / Hirschleite</w:t>
      </w:r>
      <w:r>
        <w:rPr>
          <w:rFonts w:ascii="Arial" w:hAnsi="Arial"/>
          <w:color w:val="5A5A5A"/>
          <w:sz w:val="16"/>
        </w:rPr>
        <w:t xml:space="preserve">    VK-STN-17</w:t>
      </w:r>
    </w:p>
    <w:p>
      <w:r>
        <w:rPr>
          <w:rFonts w:ascii="Arial" w:hAnsi="Arial"/>
          <w:b/>
          <w:color w:val="0F5F66"/>
          <w:sz w:val="32"/>
        </w:rPr>
        <w:t>Stellungnahme der Auftraggeberin im Nachprüfungsverfahren</w:t>
      </w:r>
    </w:p>
    <w:p>
      <w:r>
        <w:rPr>
          <w:rFonts w:ascii="Arial" w:hAnsi="Arial"/>
          <w:color w:val="505050"/>
          <w:sz w:val="20"/>
        </w:rPr>
        <w:t>A44 Ersatzneubau Talbrücke Fuchsbachtal und Tunnel Hirschleite</w:t>
      </w:r>
    </w:p>
    <w:p/>
    <w:p>
      <w:pPr>
        <w:spacing w:after="80"/>
      </w:pPr>
      <w:r>
        <w:rPr>
          <w:rFonts w:ascii="Arial" w:hAnsi="Arial"/>
          <w:b w:val="0"/>
          <w:sz w:val="20"/>
        </w:rPr>
        <w:t>Die Stellungnahme verteidigt die Wertung, bleibt aber bei zwei Punkten vorsichtig: Transparenz der Unterkriterien und Einordnung des Wasserhaltungshinweises der ARGE.</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F2F4F4"/>
            <w:vAlign w:val="top"/>
          </w:tcPr>
          <w:p>
            <w:r/>
            <w:r>
              <w:rPr>
                <w:rFonts w:ascii="Arial" w:hAnsi="Arial"/>
                <w:b/>
                <w:sz w:val="18"/>
              </w:rPr>
              <w:t>Vorwurf</w:t>
            </w:r>
          </w:p>
        </w:tc>
        <w:tc>
          <w:tcPr>
            <w:tcW w:type="dxa" w:w="3324"/>
            <w:shd w:fill="F2F4F4"/>
            <w:vAlign w:val="top"/>
          </w:tcPr>
          <w:p>
            <w:r/>
            <w:r>
              <w:rPr>
                <w:rFonts w:ascii="Arial" w:hAnsi="Arial"/>
                <w:b/>
                <w:sz w:val="18"/>
              </w:rPr>
              <w:t>Erwiderung</w:t>
            </w:r>
          </w:p>
        </w:tc>
        <w:tc>
          <w:tcPr>
            <w:tcW w:type="dxa" w:w="3324"/>
            <w:shd w:fill="F2F4F4"/>
            <w:vAlign w:val="top"/>
          </w:tcPr>
          <w:p>
            <w:r/>
            <w:r>
              <w:rPr>
                <w:rFonts w:ascii="Arial" w:hAnsi="Arial"/>
                <w:b/>
                <w:sz w:val="18"/>
              </w:rPr>
              <w:t>Beleg</w:t>
            </w:r>
          </w:p>
        </w:tc>
      </w:tr>
      <w:tr>
        <w:tc>
          <w:tcPr>
            <w:tcW w:type="dxa" w:w="3324"/>
            <w:vAlign w:val="top"/>
          </w:tcPr>
          <w:p>
            <w:r/>
            <w:r>
              <w:rPr>
                <w:rFonts w:ascii="Arial" w:hAnsi="Arial"/>
                <w:b w:val="0"/>
                <w:sz w:val="18"/>
              </w:rPr>
              <w:t>Unterkriterien nicht bekannt</w:t>
            </w:r>
          </w:p>
        </w:tc>
        <w:tc>
          <w:tcPr>
            <w:tcW w:type="dxa" w:w="3324"/>
            <w:vAlign w:val="top"/>
          </w:tcPr>
          <w:p>
            <w:r/>
            <w:r>
              <w:rPr>
                <w:rFonts w:ascii="Arial" w:hAnsi="Arial"/>
                <w:b w:val="0"/>
                <w:sz w:val="18"/>
              </w:rPr>
              <w:t>Baugrund- und Wasserhaltungskonzept war als Zuschlagskriterium mit Gewichtung 20 Prozent benannt; Erläuterungen ergaben sich aus Bieterfrage 14</w:t>
            </w:r>
          </w:p>
        </w:tc>
        <w:tc>
          <w:tcPr>
            <w:tcW w:type="dxa" w:w="3324"/>
            <w:vAlign w:val="top"/>
          </w:tcPr>
          <w:p>
            <w:r/>
            <w:r>
              <w:rPr>
                <w:rFonts w:ascii="Arial" w:hAnsi="Arial"/>
                <w:b w:val="0"/>
                <w:sz w:val="18"/>
              </w:rPr>
              <w:t>Bekanntmachung, Bewerbungsbedingungen 2.3, Bieterantwort</w:t>
            </w:r>
          </w:p>
        </w:tc>
      </w:tr>
      <w:tr>
        <w:tc>
          <w:tcPr>
            <w:tcW w:type="dxa" w:w="3324"/>
            <w:vAlign w:val="top"/>
          </w:tcPr>
          <w:p>
            <w:r/>
            <w:r>
              <w:rPr>
                <w:rFonts w:ascii="Arial" w:hAnsi="Arial"/>
                <w:b w:val="0"/>
                <w:sz w:val="18"/>
              </w:rPr>
              <w:t>Nachträgliche Dokumentation</w:t>
            </w:r>
          </w:p>
        </w:tc>
        <w:tc>
          <w:tcPr>
            <w:tcW w:type="dxa" w:w="3324"/>
            <w:vAlign w:val="top"/>
          </w:tcPr>
          <w:p>
            <w:r/>
            <w:r>
              <w:rPr>
                <w:rFonts w:ascii="Arial" w:hAnsi="Arial"/>
                <w:b w:val="0"/>
                <w:sz w:val="18"/>
              </w:rPr>
              <w:t>Die Wertungsgruppe hat am 26.02. Rohnotizen erstellt; die Reinschrift vom 09.03. präzisiert nur vorhandene Erwägungen</w:t>
            </w:r>
          </w:p>
        </w:tc>
        <w:tc>
          <w:tcPr>
            <w:tcW w:type="dxa" w:w="3324"/>
            <w:vAlign w:val="top"/>
          </w:tcPr>
          <w:p>
            <w:r/>
            <w:r>
              <w:rPr>
                <w:rFonts w:ascii="Arial" w:hAnsi="Arial"/>
                <w:b w:val="0"/>
                <w:sz w:val="18"/>
              </w:rPr>
              <w:t>Protokollexport Wertungssitzung</w:t>
            </w:r>
          </w:p>
        </w:tc>
      </w:tr>
      <w:tr>
        <w:tc>
          <w:tcPr>
            <w:tcW w:type="dxa" w:w="3324"/>
            <w:vAlign w:val="top"/>
          </w:tcPr>
          <w:p>
            <w:r/>
            <w:r>
              <w:rPr>
                <w:rFonts w:ascii="Arial" w:hAnsi="Arial"/>
                <w:b w:val="0"/>
                <w:sz w:val="18"/>
              </w:rPr>
              <w:t>Vorbehalt ARGE</w:t>
            </w:r>
          </w:p>
        </w:tc>
        <w:tc>
          <w:tcPr>
            <w:tcW w:type="dxa" w:w="3324"/>
            <w:vAlign w:val="top"/>
          </w:tcPr>
          <w:p>
            <w:r/>
            <w:r>
              <w:rPr>
                <w:rFonts w:ascii="Arial" w:hAnsi="Arial"/>
                <w:b w:val="0"/>
                <w:sz w:val="18"/>
              </w:rPr>
              <w:t>Der Satz zur Dauerwasserführung ist ein Hinweis zur Kalkulationsgrundlage, nicht Bedingung der Leistungserbringung</w:t>
            </w:r>
          </w:p>
        </w:tc>
        <w:tc>
          <w:tcPr>
            <w:tcW w:type="dxa" w:w="3324"/>
            <w:vAlign w:val="top"/>
          </w:tcPr>
          <w:p>
            <w:r/>
            <w:r>
              <w:rPr>
                <w:rFonts w:ascii="Arial" w:hAnsi="Arial"/>
                <w:b w:val="0"/>
                <w:sz w:val="18"/>
              </w:rPr>
              <w:t>Angebotsaufklärung 25.02. und Antwort 26.02.</w:t>
            </w:r>
          </w:p>
        </w:tc>
      </w:tr>
    </w:tbl>
    <w:p/>
    <w:p>
      <w:pPr>
        <w:spacing w:after="80"/>
      </w:pPr>
      <w:r>
        <w:rPr>
          <w:rFonts w:ascii="Arial" w:hAnsi="Arial"/>
          <w:b w:val="0"/>
          <w:sz w:val="20"/>
        </w:rPr>
        <w:t>Die technische Wertungsgruppe weist intern darauf hin, dass die Baugrundrisiken in der Ausführungsphase tatsächlich höher liegen können. Diese Prognose soll im Nachprüfungsverfahren nicht mit der Frage verwechselt werden, ob das damalige Angebot zuschlagsfähig war.</w:t>
      </w:r>
    </w:p>
    <w:sectPr w:rsidR="00FC693F" w:rsidRPr="0006063C" w:rsidSect="00034616">
      <w:pgSz w:w="12240" w:h="15840"/>
      <w:pgMar w:top="907"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