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VK-BESCHL-18</w:t>
      </w:r>
    </w:p>
    <w:p>
      <w:r>
        <w:rPr>
          <w:rFonts w:ascii="Arial" w:hAnsi="Arial"/>
          <w:b/>
          <w:color w:val="0F5F66"/>
          <w:sz w:val="32"/>
        </w:rPr>
        <w:t>Beschluss der Vergabekammer, Auszug aus der Projektakte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Der Beschlussauszug wurde nach dem Termin zur mündlichen Verhandlung in die Projektakte übernommen. Die Vergabekammer beanstandet eine knappe Dokumentationsstelle, sieht aber keine Pflicht zur vollständigen Neubewertung.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Tenor-Auszug</w:t>
            </w:r>
          </w:p>
        </w:tc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Projektfolge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 Auftraggeberin hat die Dokumentation zum Zuschlagskriterium Baugrund- und Wasserhaltungskonzept für die Angebote ARGE Mittelgebirge und Nordfels zu ergänzen und den Beteiligten mitzuteilen.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Wertung bleibt im Grundsatz stehen; Zuschlag erst nach dokumentierter Ergänzung und erneutem Informationsschreiben.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 Übrigen wird der Nachprüfungsantrag zurückgewiesen.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Vergabestelle bereitet Zuschlag vor.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Kostenquote 80 Prozent Nordfels, 20 Prozent Auftraggeberin.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Kostenstelle Recht/Vergabe informieren.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Der Auszug enthält keinen vollständigen Entscheidungstext. Für spätere Vergaben wurde die Formulierung der Unterkriterien im Kriterienkatalog überarbeitet.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