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VERTRAG-19</w:t>
      </w:r>
    </w:p>
    <w:p>
      <w:r>
        <w:rPr>
          <w:rFonts w:ascii="Arial" w:hAnsi="Arial"/>
          <w:b/>
          <w:color w:val="0F5F66"/>
          <w:sz w:val="32"/>
        </w:rPr>
        <w:t>Bauvertrag, Besondere Vertragsbedingungen und Nachtragsregeln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Vertrag zwischen Die Autobahn GmbH des Bundes, Niederlassung Westfalen, Außenstelle Kassel und ARGE Mittelgebirge Tunnelbrücke, Federführung Helbing Bau AG. Vertragsgrundlagen: Angebot vom 18.02.2026, Zuschlag vom 29.04.2026, VOB/B, Besondere Vertragsbedingungen, LV, Baugrundgutachten B-04, Planfeststellungsauflagen und freigegebene Ausführungsplanung.</w:t>
      </w:r>
    </w:p>
    <w:p>
      <w:r>
        <w:rPr>
          <w:rFonts w:ascii="Arial" w:hAnsi="Arial"/>
          <w:b/>
          <w:color w:val="0F5F66"/>
          <w:sz w:val="24"/>
        </w:rPr>
        <w:t>Auszug Vertragsregelungen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Regelung</w:t>
            </w:r>
          </w:p>
        </w:tc>
        <w:tc>
          <w:tcPr>
            <w:tcW w:type="dxa" w:w="4986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Inhalt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Bauzeit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Baubeginn 18.05.2026, vertragliche Fertigstellung 15.09.2030, Vertragsfristen laut Terminplan TP-05.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Behinderung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Behinderungen sind unverzüglich mit Ursache, Auswirkung, betroffener Leistung und Gegenmaßnahmen anzuzeigen; Fortschreibung im Terminplan binnen fünf Arbeitstagen.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Nachträge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Geänderte und zusätzliche Leistungen sind getrennt nach Anordnung, Ursache, Kalkulationsgrundlage, Menge und Terminwirkung vorzulegen.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Dokumentation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Bautagebuch täglich; Fotos mit Stationierung; Planstand und Prüfvermerke in Datenraum; Bauüberwachung zeichnet Sichtprüfung ab, nicht die technische Verantwortung des Unternehmers.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LPH 8 Schnittstelle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Bauoberleitung koordiniert örtliche Bauüberwachung, Nachtragsvorprüfung, Terminsteuerung, Rechnungsprüfung und Mängelverfolgung; Planänderungen werden gesondert beauftragt.</w:t>
            </w:r>
          </w:p>
        </w:tc>
      </w:tr>
    </w:tbl>
    <w:p/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