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BUE-LPH8-23</w:t>
      </w:r>
    </w:p>
    <w:p>
      <w:r>
        <w:rPr>
          <w:rFonts w:ascii="Arial" w:hAnsi="Arial"/>
          <w:b/>
          <w:color w:val="0F5F66"/>
          <w:sz w:val="32"/>
        </w:rPr>
        <w:t>Bauüberwachungsbericht LPH 8, Kalenderwoche 18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Bericht der Bauoberleitung für den Auftraggeber. Der Bericht trennt Beobachtung, Anordnung, Nachtragsvorprüfung und offene Entscheidung. Er soll verhindern, dass baupraktische Sofortmaßnahmen später als ungeprüfte Leistungsänderung erscheinen.</w:t>
      </w:r>
    </w:p>
    <w:p>
      <w:r>
        <w:rPr>
          <w:rFonts w:ascii="Arial" w:hAnsi="Arial"/>
          <w:b/>
          <w:color w:val="0F5F66"/>
          <w:sz w:val="24"/>
        </w:rPr>
        <w:t>Status Brücke</w:t>
      </w:r>
    </w:p>
    <w:p>
      <w:pPr>
        <w:ind w:left="283" w:hanging="142"/>
      </w:pPr>
      <w:r>
        <w:rPr>
          <w:rFonts w:ascii="Arial" w:hAnsi="Arial"/>
          <w:sz w:val="20"/>
        </w:rPr>
        <w:t>• Widerlager West planmäßig; Bewehrungsfreigabe Pfahlkopfplatte noch nicht erteilt, weil Prüfstatik Rückfrage zur Schubbewehrung offen ist.</w:t>
      </w:r>
    </w:p>
    <w:p>
      <w:pPr>
        <w:ind w:left="283" w:hanging="142"/>
      </w:pPr>
      <w:r>
        <w:rPr>
          <w:rFonts w:ascii="Arial" w:hAnsi="Arial"/>
          <w:sz w:val="20"/>
        </w:rPr>
        <w:t>• Widerlager Ost stoppt teilweise wegen Kampfmittelverdacht im Bereich alter Wegeachse. ARGE hält Gerät vor und meldet Stillstand für Bohrgerät BG 28 an.</w:t>
      </w:r>
    </w:p>
    <w:p>
      <w:pPr>
        <w:ind w:left="283" w:hanging="142"/>
      </w:pPr>
      <w:r>
        <w:rPr>
          <w:rFonts w:ascii="Arial" w:hAnsi="Arial"/>
          <w:sz w:val="20"/>
        </w:rPr>
        <w:t>• Stahlüberbau Werkstattplanung liegt in Index B vor; Bauherrnfreigabe steht wegen Kollisionspunkt Kappenentwässerung/Tunnelbetriebstechnik aus.</w:t>
      </w:r>
    </w:p>
    <w:p>
      <w:r>
        <w:rPr>
          <w:rFonts w:ascii="Arial" w:hAnsi="Arial"/>
          <w:b/>
          <w:color w:val="0F5F66"/>
          <w:sz w:val="24"/>
        </w:rPr>
        <w:t>Status Tunnel</w:t>
      </w:r>
    </w:p>
    <w:p>
      <w:pPr>
        <w:ind w:left="283" w:hanging="142"/>
      </w:pPr>
      <w:r>
        <w:rPr>
          <w:rFonts w:ascii="Arial" w:hAnsi="Arial"/>
          <w:sz w:val="20"/>
        </w:rPr>
        <w:t>• Portal West: Schichtwasser stärker als Baugrundgutachten B-04 beschreibt; Messreihe HydroTec zeigt 31 bis 36 l/s.</w:t>
      </w:r>
    </w:p>
    <w:p>
      <w:pPr>
        <w:ind w:left="283" w:hanging="142"/>
      </w:pPr>
      <w:r>
        <w:rPr>
          <w:rFonts w:ascii="Arial" w:hAnsi="Arial"/>
          <w:sz w:val="20"/>
        </w:rPr>
        <w:t>• Spritzbetonklasse nach Vortriebskonzept S2 möglicherweise nicht ausreichend; Prüfingenieur verlangt Nachweis und Probefeld.</w:t>
      </w:r>
    </w:p>
    <w:p>
      <w:pPr>
        <w:ind w:left="283" w:hanging="142"/>
      </w:pPr>
      <w:r>
        <w:rPr>
          <w:rFonts w:ascii="Arial" w:hAnsi="Arial"/>
          <w:sz w:val="20"/>
        </w:rPr>
        <w:t>• Umweltbaubegleitung fordert tägliche Wassertrübungsprotokolle; am 10.06. lag der Wert über Warnschwelle.</w:t>
      </w:r>
    </w:p>
    <w:p>
      <w:r>
        <w:rPr>
          <w:rFonts w:ascii="Arial" w:hAnsi="Arial"/>
          <w:b/>
          <w:color w:val="0F5F66"/>
          <w:sz w:val="24"/>
        </w:rPr>
        <w:t>Entscheidungsliste Auftraggeber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Nr.</w:t>
            </w:r>
          </w:p>
        </w:tc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Entscheidung</w:t>
            </w:r>
          </w:p>
        </w:tc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Frist</w:t>
            </w:r>
          </w:p>
        </w:tc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Folge bei Nichtentscheidung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E-18-01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Anordnung zusätzliche Wasserhaltung ja/nein, einschließlich Vergütungsfolge vorbehalten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2026-07-08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Portal West bleibt im Stillstand oder ARGE baut ohne Kostensicherheit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E-18-02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Kampfmittelsondierung Achse 40 als Bauherrnrisiko behandeln?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2026-07-10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Bohrgerätvorhaltung läuft auf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E-18-03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Planänderung Innenschale in LPH 5 gesondert beauftragen oder als Bauüberwachungsklärung führen?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2026-07-12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Unklare Verantwortung und Rechnungsprüfung</w:t>
            </w:r>
          </w:p>
        </w:tc>
      </w:tr>
    </w:tbl>
    <w:p/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