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color w:val="5A5A5A"/>
          <w:sz w:val="16"/>
        </w:rPr>
        <w:t>Projektakte Fuchsbachtal / Hirschleite</w:t>
      </w:r>
      <w:r>
        <w:rPr>
          <w:rFonts w:ascii="Arial" w:hAnsi="Arial"/>
          <w:color w:val="5A5A5A"/>
          <w:sz w:val="16"/>
        </w:rPr>
        <w:t xml:space="preserve">    BOL-NTP-26</w:t>
      </w:r>
    </w:p>
    <w:p>
      <w:r>
        <w:rPr>
          <w:rFonts w:ascii="Arial" w:hAnsi="Arial"/>
          <w:b/>
          <w:color w:val="0F5F66"/>
          <w:sz w:val="32"/>
        </w:rPr>
        <w:t>Nachtragsprüfung 01 der Bauoberleitung</w:t>
      </w:r>
    </w:p>
    <w:p>
      <w:r>
        <w:rPr>
          <w:rFonts w:ascii="Arial" w:hAnsi="Arial"/>
          <w:color w:val="505050"/>
          <w:sz w:val="20"/>
        </w:rPr>
        <w:t>A44 Ersatzneubau Talbrücke Fuchsbachtal und Tunnel Hirschleite</w:t>
      </w:r>
    </w:p>
    <w:p/>
    <w:p>
      <w:pPr>
        <w:spacing w:after="80"/>
      </w:pPr>
      <w:r>
        <w:rPr>
          <w:rFonts w:ascii="Arial" w:hAnsi="Arial"/>
          <w:b w:val="0"/>
          <w:sz w:val="20"/>
        </w:rPr>
        <w:t>Vorläufige Prüfung der Bauoberleitung. Das Dokument trennt technische Notwendigkeit, vertragliche Einordnung, Preisprüfung und Terminwirkung. Es enthält bewusst offene Punkte, weil die Auftraggeberentscheidung noch aussteht.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Prüffeld</w:t>
            </w:r>
          </w:p>
        </w:tc>
        <w:tc>
          <w:tcPr>
            <w:tcW w:type="dxa" w:w="332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Feststellung</w:t>
            </w:r>
          </w:p>
        </w:tc>
        <w:tc>
          <w:tcPr>
            <w:tcW w:type="dxa" w:w="3324"/>
            <w:shd w:fill="F2F4F4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Offen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Ursache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Quellhorizont in Intensität höher als in B-04 beschrieben; Messdaten HydroTec plausibel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Gegenprobe durch Baugrundgutachter fehlt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Anordnung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Mündliche Sofortmaßnahme zur Schadensvermeidung am 12.06. dokumentiert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Schriftliche Anordnung mit Vergütungsvorbehalt fehlt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Mengen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Pumpen und Absetztechnik plausibel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Stillstandstage nicht vollständig aus Tagesberichten ableitbar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Preis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Geräteansätze teilweise aus Urkalkulation ableitbar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Lamellenklärer Angebot Drittunternehmer fehlt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Termin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19 Tage möglich, aber Puffer Bauphase 2 und Vortrieb Block 1-4 gesondert zu rechnen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Fortschreibung Terminplan TP-06 verlangt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sz w:val="20"/>
        </w:rPr>
        <w:t>Empfehlung der Bauoberleitung: Anordnung der zusätzlichen Wasserhaltung aussprechen, Vergütung dem Grunde nach nicht abschließend anerkennen, prüffähige Kostengliederung und Soll-Ist-Terminfortschreibung verlangen.</w:t>
      </w:r>
    </w:p>
    <w:sectPr w:rsidR="00FC693F" w:rsidRPr="0006063C" w:rsidSect="00034616">
      <w:pgSz w:w="12240" w:h="15840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