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B-02-28</w:t>
      </w:r>
    </w:p>
    <w:p>
      <w:r>
        <w:rPr>
          <w:rFonts w:ascii="Arial" w:hAnsi="Arial"/>
          <w:b/>
          <w:color w:val="0F5F66"/>
          <w:sz w:val="32"/>
        </w:rPr>
        <w:t>Behinderungsanzeige B-02 Kampfmittelverdacht Achse 40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Die ARGE meldet eine zweite Behinderung im Bereich Widerlager Ost. Die Kampfmittelsondierung war nach Vertrag bauseits vor Aushubfreigabe vorgesehen; die Freigabe liegt nur für Teilflächen vor.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Feld</w:t>
            </w:r>
          </w:p>
        </w:tc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Angabe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Betroffener Bereich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Widerlager Ost Achse 40, Bohrpfahlreihe 3 bis 7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Beginn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2026-06-24, 09:15 Uhr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Ursache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Magnetik-Anomalie nach Sondierprotokoll KM-18, Freigabe nicht erteilt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Betroffene Geräte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Bohrgerät BG 28, 2 Radlader, Betonpumpe reserviert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Gegenmaßnahme ARGE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Umsetzen auf Pfahlreihe 1-2 nur bis 26.06. möglich, danach keine Ausweichleistung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Terminwirkung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vorläufig 10 Arbeitstage, abhängig von Freigabe Kampfmittelräumdienst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Die Bauüberwachung hat am Rand vermerkt, dass die Anzeige unverzüglich wirkt, die Auswirkung aber nur nach Fortschreibung des Ressourcenplans prüfbar ist.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