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JF-45-31</w:t>
      </w:r>
    </w:p>
    <w:p>
      <w:r>
        <w:rPr>
          <w:rFonts w:ascii="Arial" w:hAnsi="Arial"/>
          <w:b/>
          <w:color w:val="0F5F66"/>
          <w:sz w:val="32"/>
        </w:rPr>
        <w:t>Jour fixe 45: Bauherr, Bauoberleitung, ARGE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Protokoll vom 03.07.2026, 09:00 bis 11:35 Uhr, Baubüro West. Teilnehmende: Auftraggeber, Bauoberleitung, örtliche Bauüberwachung, ARGE, Umweltbaubegleitung, Geotechnik, Rechtsabteilung zeitweise.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TOP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Diskussion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Festlegung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  <w:tc>
          <w:tcPr>
            <w:tcW w:type="dxa" w:w="199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Frist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 Quellhorizont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ARGE verlangt Sofortanordnung; Bauherr will keine pauschale Anerkennung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Anordnung technische Wasserhaltung mit Vergütungsvorbehalt vorbereiten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BOL/Recht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2026-07-08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 Kampfmittel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Freigabe Achse 40 nur teilweise; Bohrgerät steht seit 24.06.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Sondierfirma erhält Zusatztermin, ARGE legt Geräteprotokoll vor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Projektsteuerung/ARGE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2026-07-09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 Planindex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Innenschale Block 4-8 bleibt in Index A, obwohl Prüfstatik Bedenken hat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Fachplaner erstellt Index B oder begründet Entbehrlichkeit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Rother &amp; Partner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2026-07-12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 LPH 8 Abgrenzung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Bauüberwachung soll keine neue Ausführungsplanung stillschweigend übernehmen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Entscheidungsliste E-18 wird mit Auftraggeberentscheidung geführt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BOL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laufend</w:t>
            </w:r>
          </w:p>
        </w:tc>
      </w:tr>
      <w:tr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 Nachtragsregister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N01 und N02 nicht vergleichbar; Terminwirkung gesondert darstellen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Neue Matrix mit Ursache, Anordnung, Preis, Termin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BOL/ARGE</w:t>
            </w:r>
          </w:p>
        </w:tc>
        <w:tc>
          <w:tcPr>
            <w:tcW w:type="dxa" w:w="199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2026-07-10</w:t>
            </w:r>
          </w:p>
        </w:tc>
      </w:tr>
    </w:tbl>
    <w:p/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