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VTF-32</w:t>
      </w:r>
    </w:p>
    <w:p>
      <w:r>
        <w:rPr>
          <w:rFonts w:ascii="Arial" w:hAnsi="Arial"/>
          <w:b/>
          <w:color w:val="0F5F66"/>
          <w:sz w:val="32"/>
        </w:rPr>
        <w:t>Verkehrsführung und Sicherheitskonzept Bauphase 2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Konzeptauszug der Verkehrskoordination. Die Bauphase 2 wird durch Baugrund- und Nachtragsfragen berührt, weil zusätzliche Nachttransporte für Wasserhaltung und Kampfmittelsondierung beantragt wurden.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Baustein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Regelung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Konflikt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 18 Umleitung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Schwerlastverbot über 40 t, Ampel in Ortsdurchfahrt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benötigt drei Transporte Lamellenklärer je 48 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Autobahn Nachtfenster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Sperrungen 22:00 bis 05:00 Uhr, sechs Wochenenden im Vertrag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Nachtrag N04 verlangt zwei zusätzliche Wochenenden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Rettungsweg Tunnel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Provisorischer Rettungsweg über Baustraße West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Wasserhaltung verengt Baustraße; Feuerwehr fordert Mindestbreite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Anwohnerkommunikation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48 Stunden Vorlauf bei Nachtarbeiten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Bauzeitenplan verschiebt sich kurzfristig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Die Bauoberleitung bittet um Entscheidung, ob zusätzliche Verkehrsführungsleistungen als angeordnete Änderung oder als vom Auftragnehmer kalkuliertes Logistikrisiko behandelt werden.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