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MRL-34</w:t>
      </w:r>
    </w:p>
    <w:p>
      <w:r>
        <w:rPr>
          <w:rFonts w:ascii="Arial" w:hAnsi="Arial"/>
          <w:b/>
          <w:color w:val="0F5F66"/>
          <w:sz w:val="32"/>
        </w:rPr>
        <w:t>Mängel- und Restleistungsprotokoll Abschnitt West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Auszug aus dem Mängel- und Restleistungsprotokoll Abschnitt West. Es wird von der Bauoberleitung geführt, enthält aber noch nicht alle Stellungnahmen der ARGE.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Nr.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Ort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Feststellung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Frist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M-01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Tunnel Portal West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Beschichtung Entwässerungsrinne ungleichmäßig, Haftzugwerte fehlen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2026-07-25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M-02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Baustraße West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Sedimentaustrag nach Regenereignis, Reinigung Fuchsbachzufahrt erforderlich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2026-07-15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 Arbeit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M-03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Widerlager Ost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Bohrpfahlprotokolle 3 und 4 unvollständig, Betonierbeginn nicht gegengezeichnet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2026-07-20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R-01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Datenraum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Fotodokumentation Station T 0+126 ohne Geotag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2026-07-12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Die ARGE lehnt M-02 teilweise ab und verweist auf ungeplante Wasserführung. Die Bauüberwachung will die Position nicht mit Nachtrag 01 vermischen.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