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Gesa Trux, Rechtsanwaeltin und Insolvenzverwalterin | Kurfuerstendamm 178, 10707 Berlin</w:t>
      </w:r>
    </w:p>
    <w:p>
      <w:pPr>
        <w:pStyle w:val="Heading1"/>
      </w:pPr>
      <w:r>
        <w:t>Klageschrift</w:t>
      </w:r>
    </w:p>
    <w:p>
      <w:r>
        <w:t>An das Landgericht Berlin, Kammer fuer Handelssachen</w:t>
      </w:r>
    </w:p>
    <w:p/>
    <w:p>
      <w:r>
        <w:t>In dem Rechtsstreit</w:t>
      </w:r>
    </w:p>
    <w:p>
      <w:r>
        <w:t>Dr. Gesa Trux als Insolvenzverwalterin ueber das Vermoegen der Kiezflitzer Mobility GmbH, Weserstrasse 168, 12045 Berlin</w:t>
      </w:r>
    </w:p>
    <w:p>
      <w:pPr>
        <w:pStyle w:val="ListBullet"/>
      </w:pPr>
      <w:r>
        <w:t>Klaegerin -</w:t>
      </w:r>
    </w:p>
    <w:p>
      <w:r>
        <w:t>gegen</w:t>
      </w:r>
    </w:p>
    <w:p>
      <w:r>
        <w:t>Dr. Valentin Brosekamp, Berlin</w:t>
      </w:r>
    </w:p>
    <w:p>
      <w:pPr>
        <w:pStyle w:val="ListBullet"/>
      </w:pPr>
      <w:r>
        <w:t>Beklagter -</w:t>
      </w:r>
    </w:p>
    <w:p/>
    <w:p>
      <w:r>
        <w:t>wegen Insolvenzanfechtung (Streitwert: 185.230,00 EUR)</w:t>
      </w:r>
    </w:p>
    <w:p/>
    <w:p>
      <w:r>
        <w:t>erhebe ich namens und in Vollmacht der Klaegerin Klage und werde beantragen:</w:t>
      </w:r>
    </w:p>
    <w:p>
      <w:r>
        <w:t>1. Der Beklagte wird verurteilt, an die Klaegerin 165.230,00 EUR nebst Zinsen in Hoehe von fuenf Prozentpunkten ueber dem Basiszinssatz seit Rechtshaengigkeit zu zahlen.</w:t>
      </w:r>
    </w:p>
    <w:p>
      <w:r>
        <w:t>2. Der Beklagte traegt die Kosten des Rechtsstreits.</w:t>
      </w:r>
    </w:p>
    <w:p>
      <w:pPr>
        <w:pStyle w:val="Heading2"/>
      </w:pPr>
      <w:r>
        <w:t>Sachverhalt</w:t>
      </w:r>
    </w:p>
    <w:p>
      <w:r>
        <w:t>Der Beklagte war zu 20 % an der Schuldnerin beteiligt und zugleich im Rahmen eines Beratervertrags 'Interim Finance Advisory' fuer sie taetig. Im Dezember 2024 erhielt er die Rueckzahlung eines Gesellschafterdarlehens ueber 150.000,00 EUR. Im September 2025 wurde seine Beraterrechnung ueber 20.230,00 EUR fuer im Juli und August 2025 nachweislich geleistete Arbeit beglichen. Im Oktober 2025 erhielt er zudem einen vertraglich nicht vorgesehenen Vorschuss von 15.000,00 EUR.</w:t>
      </w:r>
    </w:p>
    <w:p>
      <w:r>
        <w:t>Der Eigenantrag der Schuldnerin datiert vom 14.11.2025. Das im Eroeffnungsverfahren eingeholte Gutachten stellt eine Ueberschuldung bereits zum 30.06.2025 und Zahlungsunfaehigkeit zum 01.09.2025 fest.</w:t>
      </w:r>
    </w:p>
    <w:p>
      <w:pPr>
        <w:pStyle w:val="Heading2"/>
      </w:pPr>
      <w:r>
        <w:t>Rechtliche Wuerdigung</w:t>
      </w:r>
    </w:p>
    <w:p>
      <w:r>
        <w:t>Die Darlehensrueckzahlung von 150.000,00 EUR unterliegt der Anfechtung nach § 135 Abs. 1 Nr. 2 InsO, da sie innerhalb eines Jahres vor dem Eroeffnungsantrag erfolgte. Auf eine Kenntnis des Beklagten kommt es hierfuer nicht an. Das Kleinbeteiligtenprivileg des § 39 Abs. 5 InsO greift bei einer Beteiligung von 20 % nicht.</w:t>
      </w:r>
    </w:p>
    <w:p>
      <w:r>
        <w:t>Der Vorschuss von 15.000,00 EUR ist mangels vertraglicher Grundlage und mangels Gleichwertigkeit von Leistung und Gegenleistung nicht nach § 142 InsO privilegiert und unterliegt der Anfechtung nach §§ 130, 133 InsO, da der Beklagte als nahestehende Person im Sinne des § 138 Abs. 2 InsO Kenntnis von der Krise hatte oder haben musste.</w:t>
      </w:r>
    </w:p>
    <w:p>
      <w:r>
        <w:t>Die Zahlung des Beraterhonorars von 20.230,00 EUR betrifft demgegenueber eine tatsaechlich erbrachte, gleichwertige Gegenleistung und ist als Bargeschaeft nach § 142 InsO grundsaetzlich privilegiert; sie wird hilfsweise nach § 133 InsO angegriffen, soweit dem Beklagten eine Glaeubigerbenachteiligungsabsicht der Schuldnerin bekannt war.</w:t>
      </w:r>
    </w:p>
    <w:p>
      <w:r>
        <w:t>Es wird Klageerhebung beantragt.</w:t>
      </w:r>
    </w:p>
    <w:p/>
    <w:p>
      <w:r>
        <w:t>Dr. Gesa Trux, Rechtsanwaeltin und Insolvenzverwalterin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