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Selim Okatan | Torstrasse 55, 10119 Berlin</w:t>
      </w:r>
    </w:p>
    <w:p>
      <w:pPr>
        <w:pStyle w:val="Heading1"/>
      </w:pPr>
      <w:r>
        <w:t>Klageerwiderung</w:t>
      </w:r>
    </w:p>
    <w:p>
      <w:r>
        <w:t>In dem Rechtsstreit Dr. Gesa Trux ./. Dr. Valentin Brosekamp</w:t>
      </w:r>
    </w:p>
    <w:p>
      <w:r>
        <w:t>94 O 47/26 - Landgericht Berlin</w:t>
      </w:r>
    </w:p>
    <w:p/>
    <w:p>
      <w:r>
        <w:t>beantrage ich fuer den Beklagten, die Klage abzuweisen.</w:t>
      </w:r>
    </w:p>
    <w:p>
      <w:pPr>
        <w:pStyle w:val="Heading2"/>
      </w:pPr>
      <w:r>
        <w:t>Begruendung</w:t>
      </w:r>
    </w:p>
    <w:p>
      <w:r>
        <w:t>Zur Darlehensrueckzahlung wird nicht bestritten, dass diese innerhalb der Jahresfrist des § 135 Abs. 1 Nr. 2 InsO erfolgte. Der Beklagte macht jedoch geltend, die Klaegerin habe die Frist ab dem falschen Bezugspunkt berechnet; massgeblich sei nicht der Eroeffnungsantrag vom 14.11.2025, sondern die Eroeffnung des Verfahrens am 01.03.2026.</w:t>
      </w:r>
    </w:p>
    <w:p>
      <w:r>
        <w:t>Zum Vorschuss von 15.000,00 EUR wird vorgetragen, dieser sei eine ueblicherweise gewaehrte Abschlagszahlung auf zukuenftige, bereits absehbare Beratungsleistungen gewesen und daher letztlich ebenfalls als Bargeschaeft zu behandeln.</w:t>
      </w:r>
    </w:p>
    <w:p>
      <w:r>
        <w:t>Eine Kenntnis von einer Zahlungsunfaehigkeit oder Ueberschuldung der Schuldnerin wird bestritten. Der Beklagte verweist auf den bis kurz vor dem Eigenantrag verhandelten Investoren-LOI der Kollibri Ventures GmbH vom 30.09.2025, der aus seiner Sicht eine positive Fortfuehrungsprognose begruendet habe.</w:t>
      </w:r>
    </w:p>
    <w:p>
      <w:r>
        <w:t>Zur Beraterrechnung ueber 20.230,00 EUR wird auf die als Anlage vorgelegten Stundennachweise fuer Juli und August 2025 verwiesen, die eine tatsaechlich erbrachte, gleichwertige Leistung belegten; die Zahlung sei ein privilegiertes Bargeschaeft nach § 142 InsO.</w:t>
      </w:r>
    </w:p>
    <w:p>
      <w:r>
        <w:t>Aus diesen Gruenden wird beantragt, die Klage vollumfaenglich abzuweisen.</w:t>
      </w:r>
    </w:p>
    <w:p/>
    <w:p>
      <w:r>
        <w:t>Dr. Selim Okatan, Rechtsanwalt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