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Dr. Gesa Trux, Rechtsanwaeltin und Insolvenzverwalterin | Kurfuerstendamm 178, 10707 Berlin</w:t>
      </w:r>
    </w:p>
    <w:p>
      <w:pPr>
        <w:pStyle w:val="Heading1"/>
      </w:pPr>
      <w:r>
        <w:t>Replik</w:t>
      </w:r>
    </w:p>
    <w:p>
      <w:r>
        <w:t>In dem Rechtsstreit Dr. Gesa Trux ./. Dr. Valentin Brosekamp</w:t>
      </w:r>
    </w:p>
    <w:p>
      <w:r>
        <w:t>94 O 47/26 - Landgericht Berlin</w:t>
      </w:r>
    </w:p>
    <w:p/>
    <w:p>
      <w:r>
        <w:t>erwidere ich auf die Klageerwiderung vom 13.10.2026 wie folgt:</w:t>
      </w:r>
    </w:p>
    <w:p>
      <w:pPr>
        <w:pStyle w:val="Heading2"/>
      </w:pPr>
      <w:r>
        <w:t>Zum Fristbeginn nach § 135 Abs. 1 Nr. 2 InsO</w:t>
      </w:r>
    </w:p>
    <w:p>
      <w:r>
        <w:t>Massgeblicher Bezugspunkt fuer die Jahresfrist ist nach staendiger Rechtsprechung des Bundesgerichtshofs der Eroeffnungsantrag, hier der Eigenantrag vom 14.11.2025, nicht die spaetere Verfahrenseroeffnung am 01.03.2026. Die Darlehensrueckzahlung vom Dezember 2024 liegt damit innerhalb der Jahresfrist. Auf eine Kenntnis des Beklagten kommt es fuer diesen Tatbestand nicht an.</w:t>
      </w:r>
    </w:p>
    <w:p>
      <w:pPr>
        <w:pStyle w:val="Heading2"/>
      </w:pPr>
      <w:r>
        <w:t>Zum Vorschuss</w:t>
      </w:r>
    </w:p>
    <w:p>
      <w:r>
        <w:t>Der Beratervertrag sieht keine Abschlagszahlungen vor. Der Vorschuss vom Oktober 2025 stand keiner gleichwertigen, bereits erbrachten Gegenleistung gegenueber und ist damit kein Bargeschaeft im Sinne des § 142 InsO. Als naheliegende Person im Sinne des § 138 Abs. 2 InsO trifft den Beklagten die Vermutung der Kenntnis von der Zahlungsunfaehigkeit; diese Vermutung hat er nicht widerlegt.</w:t>
      </w:r>
    </w:p>
    <w:p>
      <w:pPr>
        <w:pStyle w:val="Heading2"/>
      </w:pPr>
      <w:r>
        <w:t>Zum Investoren-LOI</w:t>
      </w:r>
    </w:p>
    <w:p>
      <w:r>
        <w:t>Der LOI der Kollibri Ventures GmbH war zum Zeitpunkt seiner Unterzeichnung am 30.09.2025 rechtlich unverbindlich und stand bereits im Oktober 2025 erkennbar auf der Kippe; die als Anlage K9 vorgelegte Absage-E-Mail der Kollibri Ventures GmbH datiert vom 07.11.2025. Der Beklagte hatte als aktiver Berater der Schuldnerin und Empfaenger des Wochenreports vom 22.08.2025 Einblick in die tatsaechliche Liquiditaetslage, die im Gruender-Chat und in den Gesellschafterprotokollen ausfuehrlich dokumentiert ist.</w:t>
      </w:r>
    </w:p>
    <w:p>
      <w:pPr>
        <w:pStyle w:val="Heading2"/>
      </w:pPr>
      <w:r>
        <w:t>Zum Beraterhonorar</w:t>
      </w:r>
    </w:p>
    <w:p>
      <w:r>
        <w:t>Die Stundennachweise fuer Juli und August 2025 werden nicht bestritten. Insoweit wird an der Klage nur hilfsweise, gestuetzt auf § 133 InsO, festgehalten.</w:t>
      </w:r>
    </w:p>
    <w:p/>
    <w:p>
      <w:r>
        <w:t>Dr. Gesa Trux, Rechtsanwaeltin und Insolvenzverwalterin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