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Selim Okatan | Torstrasse 55, 10119 Berlin</w:t>
      </w:r>
    </w:p>
    <w:p>
      <w:pPr>
        <w:pStyle w:val="Heading1"/>
      </w:pPr>
      <w:r>
        <w:t>Duplik</w:t>
      </w:r>
    </w:p>
    <w:p>
      <w:r>
        <w:t>In dem Rechtsstreit Dr. Gesa Trux ./. Dr. Valentin Brosekamp</w:t>
      </w:r>
    </w:p>
    <w:p>
      <w:r>
        <w:t>94 O 47/26 - Landgericht Berlin</w:t>
      </w:r>
    </w:p>
    <w:p/>
    <w:p>
      <w:r>
        <w:t>nehme ich zur Replik vom 03.11.2026 wie folgt Stellung:</w:t>
      </w:r>
    </w:p>
    <w:p>
      <w:r>
        <w:t>Der Beklagte raeumt ein, dass nach der zitierten Rechtsprechung des Bundesgerichtshofs grundsaetzlich auf den Eroeffnungsantrag abzustellen ist, halt jedoch daran fest, dass er zum Zeitpunkt der Darlehensrueckzahlung im Dezember 2024 keinerlei Anhaltspunkte fuer eine bevorstehende Krise gehabt habe.</w:t>
      </w:r>
    </w:p>
    <w:p>
      <w:r>
        <w:t>Zum Wochenreport vom 22.08.2025 wird vorgetragen, dieser habe lediglich allgemeine Kennzahlen enthalten und keine konkrete Aussage zu Zahlungsunfaehigkeit oder Ueberschuldung getroffen. Der Beklagte habe sich bis zur Absage der Kollibri Ventures GmbH am 07.11.2025 auf eine positive Fortfuehrungsprognose verlassen duerfen.</w:t>
      </w:r>
    </w:p>
    <w:p>
      <w:r>
        <w:t>An der rechtlichen Einordnung des Vorschusses als letztlich unschaedliche Abschlagszahlung sowie an der Klageabweisung im Uebrigen wird festgehalten.</w:t>
      </w:r>
    </w:p>
    <w:p/>
    <w:p>
      <w:r>
        <w:t>Dr. Selim Okatan, Rechtsanwalt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