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Simon Brettschneider - Insolvenzverwalter</w:t>
        <w:br/>
        <w:t>Maximilianstrasse 41, 86150 Augsburg</w:t>
      </w:r>
    </w:p>
    <w:p>
      <w:pPr>
        <w:pStyle w:val="Heading1"/>
      </w:pPr>
      <w:r>
        <w:t>Klageschrift</w:t>
      </w:r>
    </w:p>
    <w:p>
      <w:r>
        <w:t>Landgericht Augsburg</w:t>
      </w:r>
    </w:p>
    <w:p>
      <w:r>
        <w:t>5. Zivilkammer</w:t>
      </w:r>
    </w:p>
    <w:p>
      <w:r>
        <w:t>Alpenstrasse 12, 86159 Augsburg</w:t>
      </w:r>
    </w:p>
    <w:p/>
    <w:p>
      <w:r>
        <w:t>In dem Rechtsstreit</w:t>
      </w:r>
    </w:p>
    <w:p>
      <w:r>
        <w:t>Rechtsanwalt Dr. Simon Brettschneider, als Insolvenzverwalter ueber das Vermoegen der Lechtal Spedition und Logistik GmbH</w:t>
      </w:r>
    </w:p>
    <w:p>
      <w:pPr>
        <w:pStyle w:val="ListBullet"/>
      </w:pPr>
      <w:r>
        <w:t>Klaeger -</w:t>
      </w:r>
    </w:p>
    <w:p>
      <w:r>
        <w:t>gegen</w:t>
      </w:r>
    </w:p>
    <w:p>
      <w:r>
        <w:t>Freistaat Bayern, vertreten durch das Finanzamt Augsburg-Stadt, Schiessstaettenstrasse 44, 86161 Augsburg</w:t>
      </w:r>
    </w:p>
    <w:p>
      <w:pPr>
        <w:pStyle w:val="ListBullet"/>
      </w:pPr>
      <w:r>
        <w:t>Beklagter -</w:t>
      </w:r>
    </w:p>
    <w:p/>
    <w:p>
      <w:r>
        <w:t>wird Klage erhoben mit dem Antrag, den Beklagten zu verurteilen, an den Klaeger EUR 388.000,00 nebst Zinsen seit dem 09.07.2026 zu zahlen.</w:t>
      </w:r>
    </w:p>
    <w:p>
      <w:pPr>
        <w:pStyle w:val="Heading2"/>
      </w:pPr>
      <w:r>
        <w:t>Begruendung</w:t>
      </w:r>
    </w:p>
    <w:p>
      <w:r>
        <w:t>Die 30 Ratenzahlungen und die Sicherungsabtretung von Frachtforderungen vom 09.09.2024 unterliegen der Anfechtung nach Paragraf 133 Abs. 1 InsO. Der Geschaeftsfuehrer handelte mit Benachteiligungsvorsatz, wie die eigene 13-Wochen-Liquiditaetsplanung und die E-Mail vom 03.03.2023 ('wir zahlen nur noch, wer am lautesten droht') belegen. Der Beklagte kannte den Vorsatz aufgrund der Vollstreckungshistorie, der beiden fruchtlosen Pfaendungsversuche, der Ruecklastschriften und des zweimaligen Sicherheitsverlangens; die Vermutung des Paragraf 133 Abs. 3 Satz 2 InsO greift nicht, weil die Kenntnis nicht allein auf der Ratenzahlungsbitte beruht.</w:t>
      </w:r>
    </w:p>
    <w:p/>
    <w:p>
      <w:r>
        <w:t>Dr. Simon Brettschneider</w:t>
        <w:br/>
        <w:t>Rechtsanwalt, Insolvenzverwalter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