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Bayerisches Landesamt fuer Steuern - Prozessvertretung</w:t>
        <w:br/>
        <w:t>Ostenstrasse 13, 85072 Eichstaett</w:t>
      </w:r>
    </w:p>
    <w:p>
      <w:pPr>
        <w:pStyle w:val="Heading1"/>
      </w:pPr>
      <w:r>
        <w:t>Klageerwiderung</w:t>
      </w:r>
    </w:p>
    <w:p>
      <w:r>
        <w:t>An das Landgericht Augsburg - Az. 5 O 611/26</w:t>
      </w:r>
    </w:p>
    <w:p/>
    <w:p>
      <w:r>
        <w:t>Namens und im Auftrag des Beklagten wird beantragt, die Klage abzuweisen.</w:t>
      </w:r>
    </w:p>
    <w:p>
      <w:pPr>
        <w:pStyle w:val="Heading2"/>
      </w:pPr>
      <w:r>
        <w:t>Begruendung</w:t>
      </w:r>
    </w:p>
    <w:p>
      <w:r>
        <w:t>Die Ratenzahlungen erfolgten kongruent aufgrund der Vereinbarung vom 24.10.2022 und waren aus Sicht der Finanzverwaltung Ausdruck eines ernsthaften Sanierungsbemuehens. Das Sicherheitsverlangen sei ueblich und keine ausreichende Grundlage fuer eine Vorsatzkenntnis; die Vermutungswirkung des Paragraf 133 Abs. 3 Satz 2 InsO sei zugunsten des Beklagten anzuwenden, da die Kenntnis allenfalls aus der Ratenbitte selbst hergeleitet werden koenne.</w:t>
      </w:r>
    </w:p>
    <w:p>
      <w:r>
        <w:t>Die Vollstreckungshistorie und die Ruecklastschriften seien fuer sich genommen nicht ausreichend, um eine hinreichend sichere Kenntnis des drohenden Benachteiligungsvorsatzes zu begruenden.</w:t>
      </w:r>
    </w:p>
    <w:p/>
    <w:p>
      <w:r>
        <w:t>Bayerisches Landesamt fuer Steuern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