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Sibylle Mangold - Mangold Restrukturierung</w:t>
        <w:br/>
        <w:t>Bueroanschrift: Koenigstrasse 26, 70173 Stuttgart</w:t>
      </w:r>
    </w:p>
    <w:p>
      <w:pPr>
        <w:pStyle w:val="Heading1"/>
      </w:pPr>
      <w:r>
        <w:t>Schlussvermerk</w:t>
      </w:r>
    </w:p>
    <w:p>
      <w:r>
        <w:t>Der Vergleichsbetrag von EUR 545.000,00 ist in drei Raten vollstaendig auf dem Massekonto eingegangen (letzter Eingang 14.05.2027).</w:t>
      </w:r>
    </w:p>
    <w:p>
      <w:r>
        <w:t>Der Rechtsstreit gegen die Sueddeutsche Kreditbank AG ist damit wirtschaftlich abgeschlossen. Ansprueche gegen die Konsortin, Bankhaus Loewental KGaA, wurden gepruft und wegen untergeordneter Beteiligung (15 Prozent Konsortialanteil) sowie fehlender eigener Sicherheitenbestellung nicht weiterverfolgt.</w:t>
      </w:r>
    </w:p>
    <w:p>
      <w:r>
        <w:t>Die Akte wird zur Schlussrechnungslegung vorgemerkt.</w:t>
      </w:r>
    </w:p>
    <w:p/>
    <w:p>
      <w:r>
        <w:t>Dr. Sibylle Mangold</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