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Regensburg</w:t>
      </w:r>
    </w:p>
    <w:p>
      <w:pPr>
        <w:pStyle w:val="Heading1"/>
      </w:pPr>
      <w:r>
        <w:t>Beweisbeschluss</w:t>
      </w:r>
    </w:p>
    <w:p>
      <w:r>
        <w:t>Az. 2 O 987/26</w:t>
      </w:r>
    </w:p>
    <w:p>
      <w:pPr>
        <w:pStyle w:val="Heading2"/>
      </w:pPr>
      <w:r>
        <w:t>Beschluss</w:t>
      </w:r>
    </w:p>
    <w:p>
      <w:r>
        <w:t>Es wird Beweis erhoben ueber die Frage des Zeitpunkts des Eintritts der wirtschaftlichen Krise der Donaupart Praezisionstechnik GmbH sowie ueber die Bewertung des sicherungsuebereigneten Maschinenparks durch Einholung eines Sachverstaendigengutachtens.</w:t>
      </w:r>
    </w:p>
    <w:p>
      <w:r>
        <w:t>Zum Sachverstaendigen wird bestellt: Diplom-Kaufmann Anton Ruckdeschel, Regensburg.</w:t>
      </w:r>
    </w:p>
    <w:p/>
    <w:p>
      <w:r>
        <w:t>Der Vorsitzende Richter am Landgericht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