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Diplom-Kaufmann Anton Ruckdeschel | Oeffentlich bestellter und vereidigter Sachverstaendiger</w:t>
      </w:r>
    </w:p>
    <w:p>
      <w:pPr>
        <w:pStyle w:val="Heading1"/>
      </w:pPr>
      <w:r>
        <w:t>Sachverstaendigengutachten</w:t>
      </w:r>
    </w:p>
    <w:p>
      <w:r>
        <w:t>Landgericht Regensburg, Az. 2 O 987/26</w:t>
      </w:r>
    </w:p>
    <w:p>
      <w:r>
        <w:t>Gutachten vom 10.03.2027</w:t>
      </w:r>
    </w:p>
    <w:p>
      <w:pPr>
        <w:pStyle w:val="Heading2"/>
      </w:pPr>
      <w:r>
        <w:t>Feststellungen zur Krise</w:t>
      </w:r>
    </w:p>
    <w:p>
      <w:r>
        <w:t>Das Konzern-Reporting und das Treasury-Memo vom 31.03.2025 belegen ein negatives Eigenkapital der Donaupart Praezisionstechnik GmbH bereits ab Maerz 2025 sowie eine Deckungsluecke von durchgehend ueber 15 Prozent der faelligen externen Verbindlichkeiten. Die im Eigenantrag angegebene Zahlungsunfaehigkeit erst ab Mitte Dezember 2025 ist mit den Konzernunterlagen nicht vereinbar; die Krise trat bereits im ersten Quartal 2025 ein.</w:t>
      </w:r>
    </w:p>
    <w:p>
      <w:pPr>
        <w:pStyle w:val="Heading2"/>
      </w:pPr>
      <w:r>
        <w:t>Bewertung des Maschinenparks</w:t>
      </w:r>
    </w:p>
    <w:p>
      <w:r>
        <w:t>Der Buchwert des sicherungsuebereigneten Maschinenparks von 1.180.000,00 EUR entspricht im Wesentlichen dem Verkehrswert; eine Übersicherung im Verhaeltnis zur gesicherten Forderung von 750.000,00 EUR liegt vor.</w:t>
      </w:r>
    </w:p>
    <w:p/>
    <w:p>
      <w:r>
        <w:t>Diplom-Kaufmann Anton Ruckdeschel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