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Prof. Dr. Elmar Wachsmuth</w:t>
        <w:br/>
        <w:t>Oeffentlich bestellter Sachverstaendiger, Stuttgart</w:t>
      </w:r>
    </w:p>
    <w:p>
      <w:pPr>
        <w:pStyle w:val="Heading1"/>
      </w:pPr>
      <w:r>
        <w:t>Schriftliches Sachverstaendigengutachten</w:t>
      </w:r>
    </w:p>
    <w:p>
      <w:r>
        <w:t>Gutachten zur Werthaltigkeit des Rueckgriffsanspruchs der Feinwerk Praezisionswerkzeuge GmbH gegen die Karrenberg Industrieholding GmbH zum Stichtag 15.05.2023, erstattet im Auftrag des Landgerichts Stuttgart, Az. 34 O 88/26 KfH.</w:t>
      </w:r>
    </w:p>
    <w:p>
      <w:r>
        <w:t>1. Grundlage: Sanierungsgutachten Treumann &amp; Cie. vom 28.04.2023, Finanzkennzahlenreihe 2019 bis Q1 2023 (Aktenstueck 15), Rating-Memo der Bank vom 05.05.2023.</w:t>
      </w:r>
    </w:p>
    <w:p>
      <w:r>
        <w:t>2. Befund: Die Eigenkapitalquote der Holding war zum Stichtag bereits negativ, die Zinsdeckung lag deutlich unter 1,0; eine im Sanierungsgutachten fuer moeglich gehaltene Fortfuehrung war an nicht gesicherte Zusatzfinanzierungen geknuepft.</w:t>
      </w:r>
    </w:p>
    <w:p>
      <w:r>
        <w:t>3. Ergebnis: Der Rueckgriffsanspruch der Schuldnerin war zum Stichtag mit einer Regressquote von schaetzungsweise 4 bis 7 Prozent des Nominalbetrags zu bewerten und damit wirtschaftlich nahezu wertlos.</w:t>
      </w:r>
    </w:p>
    <w:p>
      <w:r>
        <w:t>Stuttgart, 15.01.2027</w:t>
      </w:r>
    </w:p>
    <w:p/>
    <w:p>
      <w:r>
        <w:t>Prof. Dr. Elmar Wachsmuth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