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Nachtraege zum Mietvertrag</w:t>
      </w:r>
    </w:p>
    <w:p>
      <w:pPr>
        <w:pStyle w:val="Heading2"/>
      </w:pPr>
      <w:r>
        <w:t>Nachtrag 1 - Untervermietungserlaubnis erweitert (15.09.2023)</w:t>
      </w:r>
    </w:p>
    <w:p>
      <w:r>
        <w:t>Die Vermieterin erweitert die generelle Untervermietungserlaubnis auf Vertragslaufzeiten der Unterkunden von bis zu 36 Monaten, gegen eine einmalige Zustimmungsgebuehr von 2.500 EUR.</w:t>
      </w:r>
    </w:p>
    <w:p>
      <w:pPr>
        <w:pStyle w:val="Heading2"/>
      </w:pPr>
      <w:r>
        <w:t>Nachtrag 2 - Umbau 1. Obergeschoss (10.01.2024)</w:t>
      </w:r>
    </w:p>
    <w:p>
      <w:r>
        <w:t>Die Mieterin wird ermaechtigt, im 1. Obergeschoss Trennwaende fuer 12 zusaetzliche Buero-Boxen zu errichten. Rueckbauverpflichtung bei Vertragsende: ja, auf Kosten der Mieterin. Die Vermieterin gewaehrt einen Baukostenzuschuss von 18.000 EUR, verrechnet mit drei Monatsmieten.</w:t>
      </w:r>
    </w:p>
    <w:p>
      <w:pPr>
        <w:pStyle w:val="Heading2"/>
      </w:pPr>
      <w:r>
        <w:t>Nachtrag 3 - Erhoehung Kaution (22.11.2024)</w:t>
      </w:r>
    </w:p>
    <w:p>
      <w:r>
        <w:t>Aufgrund der erweiterten Nutzflaeche durch den Umbau wird die Kaution um 9.200 EUR auf insgesamt 64.400 EUR erhoeht, zahlbar bis 31.12.2024.</w:t>
      </w:r>
    </w:p>
    <w:p/>
    <w:p>
      <w:r>
        <w:t>WVB Grundbesitz Charlottenburg GmbH &amp; Co.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