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Sachverständigengutachten zur Wertminderung der Mietsache</w:t>
      </w:r>
    </w:p>
    <w:p>
      <w:r>
        <w:t>Gutachter: Dipl.-Ing. Dietmar Rausch, oeffentlich bestellter und vereidigter Sachverstaendiger fuer Schaeden an Gebaeuden, Berlin.</w:t>
      </w:r>
    </w:p>
    <w:p>
      <w:r>
        <w:t>Auftrag: Feststellung des ueber die normale Abnutzung hinausgehenden Instandsetzungsbedarfs der Mietflaeche Kantstrasse 88-90 nach Beendigung des Mietverhaeltnisses mit der Flexhof Berlin GmbH.</w:t>
      </w:r>
    </w:p>
    <w:p>
      <w:pPr>
        <w:pStyle w:val="Heading2"/>
      </w:pPr>
      <w:r>
        <w:t>Feststellungen</w:t>
      </w:r>
    </w:p>
    <w:p>
      <w:r>
        <w:t>Der nicht zurueckgebaute Umbau des 1. Obergeschosses (12 Buero-Boxen) stellt eine ueber die vertragsgemaesse Nutzung hinausgehende bauliche Veraenderung dar, deren Rueckbau vertraglich geschuldet ist (Nachtrag 2). Rueckbaukosten laut vorliegenden Angeboten: 8.400 EUR netto.</w:t>
      </w:r>
    </w:p>
    <w:p>
      <w:r>
        <w:t>Die Abnutzung von Bodenbelag und Trennwandsystem im Erdgeschoss bewegt sich teils im Rahmen ueblicher Abnutzung bei sieben Jahren Mietdauer, teils darueber hinaus (punktuelle Flecken, 4 beschaedigte Trennwandmodule).</w:t>
      </w:r>
    </w:p>
    <w:p>
      <w:pPr>
        <w:pStyle w:val="Heading2"/>
      </w:pPr>
      <w:r>
        <w:t>Ergebnis</w:t>
      </w:r>
    </w:p>
    <w:p>
      <w:r>
        <w:t>Der Sachverstaendige schaetzt den ueber die normale Abnutzung hinausgehenden Instandsetzungsbedarf auf insgesamt 14.200 EUR netto (Rueckbau, Trennwandreparatur, Deckenleuchten, Oelfleck-Beseitigung Tiefgarage).</w:t>
      </w:r>
    </w:p>
    <w:p/>
    <w:p>
      <w:r>
        <w:t>Dipl.-Ing. Dietmar Rausch, Berlin, 05.07.2026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