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Dr. Ovelgoenne Rechtsanwaltsgesellschaft | Insolvenzverwalter</w:t>
      </w:r>
    </w:p>
    <w:p>
      <w:pPr>
        <w:pStyle w:val="Heading1"/>
      </w:pPr>
      <w:r>
        <w:t>Schlussbericht des Insolvenzverwalters</w:t>
      </w:r>
    </w:p>
    <w:p>
      <w:r>
        <w:t>Amtsgericht Duesseldorf, Az. 512 IN 88/26</w:t>
      </w:r>
    </w:p>
    <w:p>
      <w:r>
        <w:t>Schlussbericht vom 10.02.2027</w:t>
      </w:r>
    </w:p>
    <w:p>
      <w:pPr>
        <w:pStyle w:val="Heading2"/>
      </w:pPr>
      <w:r>
        <w:t>Verfahrensverlauf</w:t>
      </w:r>
    </w:p>
    <w:p>
      <w:r>
        <w:t>Nach Eroeffnung am 03.08.2026 wurden Forderungen in Hoehe von 673.858,37 EUR festgestellt. Eine Verwertung nennenswerter Aktiva war mangels operativen Geschaeftsbetriebs nicht moeglich. Die Beteiligungen an den Tochtergesellschaften Rheinaue Logistik GmbH und Bergischer Anlagenbau GmbH blieben wertlos, da beide Gesellschaften zwischenzeitlich mangels Masse eingestellt wurden.</w:t>
      </w:r>
    </w:p>
    <w:p>
      <w:pPr>
        <w:pStyle w:val="Heading2"/>
      </w:pPr>
      <w:r>
        <w:t>Masseverzeichnis</w:t>
      </w:r>
    </w:p>
    <w:p>
      <w:pPr>
        <w:pStyle w:val="ListBullet"/>
      </w:pPr>
      <w:r>
        <w:t>Kassenbestand bei Eroeffnung: 4.180,00 EUR</w:t>
      </w:r>
    </w:p>
    <w:p>
      <w:pPr>
        <w:pStyle w:val="ListBullet"/>
      </w:pPr>
      <w:r>
        <w:t>Kostenvorschuss der Geschaeftsfuehrung: 6.000,00 EUR</w:t>
      </w:r>
    </w:p>
    <w:p>
      <w:pPr>
        <w:pStyle w:val="ListBullet"/>
      </w:pPr>
      <w:r>
        <w:t>Verwertungserloes Bueroausstattung: 890,00 EUR</w:t>
      </w:r>
    </w:p>
    <w:p>
      <w:pPr>
        <w:pStyle w:val="ListBullet"/>
      </w:pPr>
      <w:r>
        <w:t>Gesamtmasse: 11.070,00 EUR</w:t>
      </w:r>
    </w:p>
    <w:p>
      <w:pPr>
        <w:pStyle w:val="ListBullet"/>
      </w:pPr>
      <w:r>
        <w:t>Verfahrenskosten (Gerichtskosten, Verwaltervergueting): 9.480,00 EUR</w:t>
      </w:r>
    </w:p>
    <w:p>
      <w:pPr>
        <w:pStyle w:val="ListBullet"/>
      </w:pPr>
      <w:r>
        <w:t>Verteilungsmasse an Insolvenzglaeubiger: 1.590,00 EUR (Quote rund 0,24 Prozent)</w:t>
      </w:r>
    </w:p>
    <w:p>
      <w:pPr>
        <w:pStyle w:val="Heading2"/>
      </w:pPr>
      <w:r>
        <w:t>Antrag</w:t>
      </w:r>
    </w:p>
    <w:p>
      <w:r>
        <w:t>Es wird beantragt, das Insolvenzverfahren nach Vollzug der Schlussverteilung gemaess Paragraf 200 InsO aufzuheben.</w:t>
      </w:r>
    </w:p>
    <w:p/>
    <w:p>
      <w:r>
        <w:t>Dr. Markus Ovelgoenne, Insolvenzverwalter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