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Hannoversche Kaution und Industrie Versicherung AG</w:t>
        <w:br/>
        <w:t>Schiffgraben 20, 30159 Hannover</w:t>
      </w:r>
    </w:p>
    <w:p>
      <w:pPr>
        <w:pStyle w:val="Heading1"/>
      </w:pPr>
      <w:r>
        <w:t>Beitrittserklaerung des Streitverkuendeten</w:t>
      </w:r>
    </w:p>
    <w:p>
      <w:r>
        <w:t>An das Landgericht Hannover – Az. 21 O 156/26</w:t>
      </w:r>
    </w:p>
    <w:p>
      <w:r>
        <w:t>Die Hannoversche Kaution und Industrie Versicherung AG tritt dem Rechtsstreit auf Seiten des Beklagten Sven Ohlendorf bei, ohne damit eine Deckungszusage abzugeben. Der Deckungsanspruch wird gesondert im Deckungsverhaeltnis geprueft, insbesondere im Hinblick auf den Ausschluss wissentlicher Pflichtverletzungen gemaess Ziffer 5.3 der Versicherungsbedingungen, der fuer die Zahlungen an die Alleingesellschafterin von besonderer Bedeutung sein duerfte.</w:t>
      </w:r>
    </w:p>
    <w:p>
      <w:r>
        <w:t>Rechtsabteilung, i. A. Dr. Konrad Ellermann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