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Landgericht Köln, große Strafkammer 19 | Staatsanwaltschaft Köln, 19 Js 774/26</w:t>
      </w:r>
    </w:p>
    <w:p>
      <w:pPr>
        <w:pStyle w:val="Heading2"/>
      </w:pPr>
      <w:r>
        <w:t>Arbeitsfassung Sachverhalt</w:t>
      </w:r>
    </w:p>
    <w:p>
      <w:pPr>
        <w:spacing w:after="120" w:line="259" w:lineRule="auto"/>
      </w:pPr>
      <w:r>
        <w:t>Rafael Montes wurde als Fahrer eines am Vortag in Rotterdam angemieteten VW T-Roc auf der A3 kontrolliert. In der Reserveradmulde lagen zwei vakuumierte Pakete mit weißem Pulver. Der Vortest reagierte positiv auf Kokain. Montes gibt an, er habe den Wagen gegen 300 Euro Fahrtlohn nach Köln bringen sollen und den Kofferraumboden nicht geöffnet.</w:t>
      </w:r>
    </w:p>
    <w:p>
      <w:pPr>
        <w:spacing w:after="120" w:line="259" w:lineRule="auto"/>
      </w:pPr>
      <w:r>
        <w:t>Die Polizeibeamten vermerken starkes Schwitzen, widersprüchliche Angaben zum Zielort und drei gelöschte Chats mit einem Kontakt namens Marlin. Auf den Paketen befindet sich ein Mischspurenprofil, das nach vorläufigem Laborvermerk nicht sicher Montes zugeordnet werden kann. Im Mietvertrag ist als Zusatzfahrer ein unleserlicher Name eingetragen.</w:t>
      </w:r>
    </w:p>
    <w:p>
      <w:pPr>
        <w:spacing w:after="120" w:line="259" w:lineRule="auto"/>
      </w:pPr>
      <w:r>
        <w:t>Die Akte zwingt zu sauberer Trennung zwischen Besitz, Wissen, Transportauftrag und Handelsnähe. Für die Verteidigung sind Durchsuchungsgrundlage, Belehrung, Dolmetscherfrage und Haftverhältnismäßigkeit zentral. Für Staatsanwaltschaft und Gericht stehen dringender Tatverdacht, Fluchtgefahr und Beweiswert der Digitalspuren im Vordergrund.</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09.06.2026</w:t>
            </w:r>
          </w:p>
        </w:tc>
        <w:tc>
          <w:tcPr>
            <w:tcW w:type="dxa" w:w="4986"/>
            <w:vAlign w:val="top"/>
          </w:tcPr>
          <w:p>
            <w:r>
              <w:t>Verkehrskontrolle Rastanlage Königsforst-West</w:t>
            </w:r>
          </w:p>
        </w:tc>
      </w:tr>
      <w:tr>
        <w:tc>
          <w:tcPr>
            <w:tcW w:type="dxa" w:w="4986"/>
            <w:vAlign w:val="top"/>
          </w:tcPr>
          <w:p>
            <w:r>
              <w:t>09.06.2026</w:t>
            </w:r>
          </w:p>
        </w:tc>
        <w:tc>
          <w:tcPr>
            <w:tcW w:type="dxa" w:w="4986"/>
            <w:vAlign w:val="top"/>
          </w:tcPr>
          <w:p>
            <w:r>
              <w:t>Auffinden von zwei vakuumierten Paketen im Reserveradfach</w:t>
            </w:r>
          </w:p>
        </w:tc>
      </w:tr>
      <w:tr>
        <w:tc>
          <w:tcPr>
            <w:tcW w:type="dxa" w:w="4986"/>
            <w:vAlign w:val="top"/>
          </w:tcPr>
          <w:p>
            <w:r>
              <w:t>10.06.2026</w:t>
            </w:r>
          </w:p>
        </w:tc>
        <w:tc>
          <w:tcPr>
            <w:tcW w:type="dxa" w:w="4986"/>
            <w:vAlign w:val="top"/>
          </w:tcPr>
          <w:p>
            <w:r>
              <w:t>Vorführung Haftrichter Amtsgericht Köln</w:t>
            </w:r>
          </w:p>
        </w:tc>
      </w:tr>
      <w:tr>
        <w:tc>
          <w:tcPr>
            <w:tcW w:type="dxa" w:w="4986"/>
            <w:vAlign w:val="top"/>
          </w:tcPr>
          <w:p>
            <w:r>
              <w:t>18.06.2026</w:t>
            </w:r>
          </w:p>
        </w:tc>
        <w:tc>
          <w:tcPr>
            <w:tcW w:type="dxa" w:w="4986"/>
            <w:vAlign w:val="top"/>
          </w:tcPr>
          <w:p>
            <w:r>
              <w:t>Wirkstoffgutachten angekündigt</w:t>
            </w:r>
          </w:p>
        </w:tc>
      </w:tr>
      <w:tr>
        <w:tc>
          <w:tcPr>
            <w:tcW w:type="dxa" w:w="4986"/>
            <w:vAlign w:val="top"/>
          </w:tcPr>
          <w:p>
            <w:r>
              <w:t>02.07.2026</w:t>
            </w:r>
          </w:p>
        </w:tc>
        <w:tc>
          <w:tcPr>
            <w:tcW w:type="dxa" w:w="4986"/>
            <w:vAlign w:val="top"/>
          </w:tcPr>
          <w:p>
            <w:r>
              <w:t>Handyforensik-Auszug an Verteidigung übermittelt</w:t>
            </w:r>
          </w:p>
        </w:tc>
      </w:tr>
      <w:tr>
        <w:tc>
          <w:tcPr>
            <w:tcW w:type="dxa" w:w="4986"/>
            <w:vAlign w:val="top"/>
          </w:tcPr>
          <w:p>
            <w:r>
              <w:t>30.07.2026</w:t>
            </w:r>
          </w:p>
        </w:tc>
        <w:tc>
          <w:tcPr>
            <w:tcW w:type="dxa" w:w="4986"/>
            <w:vAlign w:val="top"/>
          </w:tcPr>
          <w:p>
            <w:r>
              <w:t>Haftprüfungstermin möglich</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