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Landgericht Köln, große Strafkammer 19 | Staatsanwaltschaft Köln, 19 Js 774/26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Köln, 19 Js 774/26 führt die Sache derzeit mit Schwerpunkt auf: unerlaubtes Handeltreiben oder Besitz in nicht geringer Menge nach Betäubungsmittelrecht; Kurierwissen und Mittäterschaft als Kernfragen; Einziehung von Fahrzeug- und Kommunikationsmitteln.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Sicherstellungsvermerk</w:t>
            </w:r>
          </w:p>
        </w:tc>
        <w:tc>
          <w:tcPr>
            <w:tcW w:type="dxa" w:w="2493"/>
            <w:vAlign w:val="top"/>
          </w:tcPr>
          <w:p>
            <w:r>
              <w:t>PRev Autobahn Köln</w:t>
            </w:r>
          </w:p>
        </w:tc>
        <w:tc>
          <w:tcPr>
            <w:tcW w:type="dxa" w:w="2493"/>
            <w:vAlign w:val="top"/>
          </w:tcPr>
          <w:p>
            <w:r>
              <w:t>Fundort Reserveradmulde</w:t>
            </w:r>
          </w:p>
        </w:tc>
        <w:tc>
          <w:tcPr>
            <w:tcW w:type="dxa" w:w="2493"/>
            <w:vAlign w:val="top"/>
          </w:tcPr>
          <w:p>
            <w:r>
              <w:t>keine Fotos vor Öffnung durch Fahrer</w:t>
            </w:r>
          </w:p>
        </w:tc>
      </w:tr>
      <w:tr>
        <w:tc>
          <w:tcPr>
            <w:tcW w:type="dxa" w:w="2493"/>
            <w:vAlign w:val="top"/>
          </w:tcPr>
          <w:p>
            <w:r>
              <w:t>Wirkstoffvortest</w:t>
            </w:r>
          </w:p>
        </w:tc>
        <w:tc>
          <w:tcPr>
            <w:tcW w:type="dxa" w:w="2493"/>
            <w:vAlign w:val="top"/>
          </w:tcPr>
          <w:p>
            <w:r>
              <w:t>Nal-von-Minden Teststreifen</w:t>
            </w:r>
          </w:p>
        </w:tc>
        <w:tc>
          <w:tcPr>
            <w:tcW w:type="dxa" w:w="2493"/>
            <w:vAlign w:val="top"/>
          </w:tcPr>
          <w:p>
            <w:r>
              <w:t>positiv Kokain</w:t>
            </w:r>
          </w:p>
        </w:tc>
        <w:tc>
          <w:tcPr>
            <w:tcW w:type="dxa" w:w="2493"/>
            <w:vAlign w:val="top"/>
          </w:tcPr>
          <w:p>
            <w:r>
              <w:t>nur vorläufig</w:t>
            </w:r>
          </w:p>
        </w:tc>
      </w:tr>
      <w:tr>
        <w:tc>
          <w:tcPr>
            <w:tcW w:type="dxa" w:w="2493"/>
            <w:vAlign w:val="top"/>
          </w:tcPr>
          <w:p>
            <w:r>
              <w:t>Handychat Marlin</w:t>
            </w:r>
          </w:p>
        </w:tc>
        <w:tc>
          <w:tcPr>
            <w:tcW w:type="dxa" w:w="2493"/>
            <w:vAlign w:val="top"/>
          </w:tcPr>
          <w:p>
            <w:r>
              <w:t>Telegram-Auszug</w:t>
            </w:r>
          </w:p>
        </w:tc>
        <w:tc>
          <w:tcPr>
            <w:tcW w:type="dxa" w:w="2493"/>
            <w:vAlign w:val="top"/>
          </w:tcPr>
          <w:p>
            <w:r>
              <w:t>Übergabeort Köln-Deutz</w:t>
            </w:r>
          </w:p>
        </w:tc>
        <w:tc>
          <w:tcPr>
            <w:tcW w:type="dxa" w:w="2493"/>
            <w:vAlign w:val="top"/>
          </w:tcPr>
          <w:p>
            <w:r>
              <w:t>Identität Marlin ungeklärt</w:t>
            </w:r>
          </w:p>
        </w:tc>
      </w:tr>
      <w:tr>
        <w:tc>
          <w:tcPr>
            <w:tcW w:type="dxa" w:w="2493"/>
            <w:vAlign w:val="top"/>
          </w:tcPr>
          <w:p>
            <w:r>
              <w:t>DNA-Spuren</w:t>
            </w:r>
          </w:p>
        </w:tc>
        <w:tc>
          <w:tcPr>
            <w:tcW w:type="dxa" w:w="2493"/>
            <w:vAlign w:val="top"/>
          </w:tcPr>
          <w:p>
            <w:r>
              <w:t>LKA Vorbericht</w:t>
            </w:r>
          </w:p>
        </w:tc>
        <w:tc>
          <w:tcPr>
            <w:tcW w:type="dxa" w:w="2493"/>
            <w:vAlign w:val="top"/>
          </w:tcPr>
          <w:p>
            <w:r>
              <w:t>Mischspur auf Paketband</w:t>
            </w:r>
          </w:p>
        </w:tc>
        <w:tc>
          <w:tcPr>
            <w:tcW w:type="dxa" w:w="2493"/>
            <w:vAlign w:val="top"/>
          </w:tcPr>
          <w:p>
            <w:r>
              <w:t>keine Einzelspur</w:t>
            </w:r>
          </w:p>
        </w:tc>
      </w:tr>
      <w:tr>
        <w:tc>
          <w:tcPr>
            <w:tcW w:type="dxa" w:w="2493"/>
            <w:vAlign w:val="top"/>
          </w:tcPr>
          <w:p>
            <w:r>
              <w:t>Mietvertrag</w:t>
            </w:r>
          </w:p>
        </w:tc>
        <w:tc>
          <w:tcPr>
            <w:tcW w:type="dxa" w:w="2493"/>
            <w:vAlign w:val="top"/>
          </w:tcPr>
          <w:p>
            <w:r>
              <w:t>Rotterdam Mobility BV</w:t>
            </w:r>
          </w:p>
        </w:tc>
        <w:tc>
          <w:tcPr>
            <w:tcW w:type="dxa" w:w="2493"/>
            <w:vAlign w:val="top"/>
          </w:tcPr>
          <w:p>
            <w:r>
              <w:t>Fahrzeugübernahme durch Montes</w:t>
            </w:r>
          </w:p>
        </w:tc>
        <w:tc>
          <w:tcPr>
            <w:tcW w:type="dxa" w:w="2493"/>
            <w:vAlign w:val="top"/>
          </w:tcPr>
          <w:p>
            <w:r>
              <w:t>Zusatzfahrer unlesbar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29a BtMG</w:t>
      </w:r>
    </w:p>
    <w:p>
      <w:pPr>
        <w:pStyle w:val="ListBullet"/>
      </w:pPr>
      <w:r>
        <w:t>Paragraf 30 BtMG</w:t>
      </w:r>
    </w:p>
    <w:p>
      <w:pPr>
        <w:pStyle w:val="ListBullet"/>
      </w:pPr>
      <w:r>
        <w:t>Paragraf 102 StPO</w:t>
      </w:r>
    </w:p>
    <w:p>
      <w:pPr>
        <w:pStyle w:val="ListBullet"/>
      </w:pPr>
      <w:r>
        <w:t>Paragraf 112 StPO</w:t>
      </w:r>
    </w:p>
    <w:p>
      <w:pPr>
        <w:pStyle w:val="ListBullet"/>
      </w:pPr>
      <w:r>
        <w:t>Paragraf 136 StPO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