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Leipzig, Schöffengericht Abteilung 212 | Staatsanwaltschaft Leipzig, 212 Js 6180/26</w:t>
      </w:r>
    </w:p>
    <w:p>
      <w:pPr>
        <w:pStyle w:val="Heading2"/>
      </w:pPr>
      <w:r>
        <w:t>Arbeitsfassung Sachverhalt</w:t>
      </w:r>
    </w:p>
    <w:p>
      <w:pPr>
        <w:spacing w:after="120" w:line="259" w:lineRule="auto"/>
      </w:pPr>
      <w:r>
        <w:t>Die 72-jährige Bankkundin Irmgard Seidel erhielt eine SMS mit Link auf eine nachgebaute Bankseite und gab dort Zugangsdaten sowie zwei TAN-Freigaben ein. Am nächsten Morgen gingen 8.400 Euro und 6.900 Euro auf dem Konto von Jonas Peukert ein. Innerhalb von 41 Minuten wurden 12.000 Euro an drei Automaten abgehoben, der Rest per Echtzeitüberweisung weitergeleitet.</w:t>
      </w:r>
    </w:p>
    <w:p>
      <w:pPr>
        <w:spacing w:after="120" w:line="259" w:lineRule="auto"/>
      </w:pPr>
      <w:r>
        <w:t>Peukert behauptet, er habe sein Konto nur für einen angeblichen Kryptohandel zur Verfügung gestellt und selbst keine Phishingseite betrieben. Sein Handy enthält Chatnachrichten mit einer Person namens Riko, die eine Provision von 700 Euro versprach. Die IP-Adresse der Phishingseite führt zu einem ausländischen Server; bei Peukert wurden keine Administrationsdaten gefunden.</w:t>
      </w:r>
    </w:p>
    <w:p>
      <w:pPr>
        <w:spacing w:after="120" w:line="259" w:lineRule="auto"/>
      </w:pPr>
      <w:r>
        <w:t>Die Akte zwingt zur Trennung zwischen Haupttat, Kontoleihe, Vorsatz und Vermögensabschöpfung. Der Verteidigungsansatz liegt bei fehlender Kenntnis der Phishingstruktur, begrenzter Tatherrschaft und der Frage, ob die Bank- und Providerdaten lückenlos gesichert wurden.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17.04.2026</w:t>
            </w:r>
          </w:p>
        </w:tc>
        <w:tc>
          <w:tcPr>
            <w:tcW w:type="dxa" w:w="4986"/>
            <w:vAlign w:val="top"/>
          </w:tcPr>
          <w:p>
            <w:r>
              <w:t>Phishing-SMS an Bankkundin Irmgard Seidel</w:t>
            </w:r>
          </w:p>
        </w:tc>
      </w:tr>
      <w:tr>
        <w:tc>
          <w:tcPr>
            <w:tcW w:type="dxa" w:w="4986"/>
            <w:vAlign w:val="top"/>
          </w:tcPr>
          <w:p>
            <w:r>
              <w:t>18.04.2026</w:t>
            </w:r>
          </w:p>
        </w:tc>
        <w:tc>
          <w:tcPr>
            <w:tcW w:type="dxa" w:w="4986"/>
            <w:vAlign w:val="top"/>
          </w:tcPr>
          <w:p>
            <w:r>
              <w:t>zwei Echtzeitüberweisungen auf Konto Peukert</w:t>
            </w:r>
          </w:p>
        </w:tc>
      </w:tr>
      <w:tr>
        <w:tc>
          <w:tcPr>
            <w:tcW w:type="dxa" w:w="4986"/>
            <w:vAlign w:val="top"/>
          </w:tcPr>
          <w:p>
            <w:r>
              <w:t>19.04.2026</w:t>
            </w:r>
          </w:p>
        </w:tc>
        <w:tc>
          <w:tcPr>
            <w:tcW w:type="dxa" w:w="4986"/>
            <w:vAlign w:val="top"/>
          </w:tcPr>
          <w:p>
            <w:r>
              <w:t>Bargeldabhebungen an Automaten Leipzig-Grünau</w:t>
            </w:r>
          </w:p>
        </w:tc>
      </w:tr>
      <w:tr>
        <w:tc>
          <w:tcPr>
            <w:tcW w:type="dxa" w:w="4986"/>
            <w:vAlign w:val="top"/>
          </w:tcPr>
          <w:p>
            <w:r>
              <w:t>28.04.2026</w:t>
            </w:r>
          </w:p>
        </w:tc>
        <w:tc>
          <w:tcPr>
            <w:tcW w:type="dxa" w:w="4986"/>
            <w:vAlign w:val="top"/>
          </w:tcPr>
          <w:p>
            <w:r>
              <w:t>Kontosperre und Strafanzeige der Bank</w:t>
            </w:r>
          </w:p>
        </w:tc>
      </w:tr>
      <w:tr>
        <w:tc>
          <w:tcPr>
            <w:tcW w:type="dxa" w:w="4986"/>
            <w:vAlign w:val="top"/>
          </w:tcPr>
          <w:p>
            <w:r>
              <w:t>19.06.2026</w:t>
            </w:r>
          </w:p>
        </w:tc>
        <w:tc>
          <w:tcPr>
            <w:tcW w:type="dxa" w:w="4986"/>
            <w:vAlign w:val="top"/>
          </w:tcPr>
          <w:p>
            <w:r>
              <w:t>Durchsuchung Wohnung Peukert</w:t>
            </w:r>
          </w:p>
        </w:tc>
      </w:tr>
      <w:tr>
        <w:tc>
          <w:tcPr>
            <w:tcW w:type="dxa" w:w="4986"/>
            <w:vAlign w:val="top"/>
          </w:tcPr>
          <w:p>
            <w:r>
              <w:t>05.08.2026</w:t>
            </w:r>
          </w:p>
        </w:tc>
        <w:tc>
          <w:tcPr>
            <w:tcW w:type="dxa" w:w="4986"/>
            <w:vAlign w:val="top"/>
          </w:tcPr>
          <w:p>
            <w:r>
              <w:t>Frist zur Stellungnahme zum IT-Auswertebericht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