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Leipzig, 212 Js 6180/26 führt die Sache derzeit mit Schwerpunkt auf: Computerbetrug nach Paragraf 263a StGB; Geldwäscheprüfung nach Paragraf 261 StGB; Beihilfe durch Kontobereitstellung.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Banklog</w:t>
            </w:r>
          </w:p>
        </w:tc>
        <w:tc>
          <w:tcPr>
            <w:tcW w:type="dxa" w:w="2493"/>
            <w:vAlign w:val="top"/>
          </w:tcPr>
          <w:p>
            <w:r>
              <w:t>Saxonia Bank Fraud Desk</w:t>
            </w:r>
          </w:p>
        </w:tc>
        <w:tc>
          <w:tcPr>
            <w:tcW w:type="dxa" w:w="2493"/>
            <w:vAlign w:val="top"/>
          </w:tcPr>
          <w:p>
            <w:r>
              <w:t>TAN-Freigaben und Zielkonto</w:t>
            </w:r>
          </w:p>
        </w:tc>
        <w:tc>
          <w:tcPr>
            <w:tcW w:type="dxa" w:w="2493"/>
            <w:vAlign w:val="top"/>
          </w:tcPr>
          <w:p>
            <w:r>
              <w:t>keine Täteridentität</w:t>
            </w:r>
          </w:p>
        </w:tc>
      </w:tr>
      <w:tr>
        <w:tc>
          <w:tcPr>
            <w:tcW w:type="dxa" w:w="2493"/>
            <w:vAlign w:val="top"/>
          </w:tcPr>
          <w:p>
            <w:r>
              <w:t>ATM-Fotos</w:t>
            </w:r>
          </w:p>
        </w:tc>
        <w:tc>
          <w:tcPr>
            <w:tcW w:type="dxa" w:w="2493"/>
            <w:vAlign w:val="top"/>
          </w:tcPr>
          <w:p>
            <w:r>
              <w:t>Sparkasse Leipzig</w:t>
            </w:r>
          </w:p>
        </w:tc>
        <w:tc>
          <w:tcPr>
            <w:tcW w:type="dxa" w:w="2493"/>
            <w:vAlign w:val="top"/>
          </w:tcPr>
          <w:p>
            <w:r>
              <w:t>Person mit Kapuze</w:t>
            </w:r>
          </w:p>
        </w:tc>
        <w:tc>
          <w:tcPr>
            <w:tcW w:type="dxa" w:w="2493"/>
            <w:vAlign w:val="top"/>
          </w:tcPr>
          <w:p>
            <w:r>
              <w:t>Gesicht teilweise verdeckt</w:t>
            </w:r>
          </w:p>
        </w:tc>
      </w:tr>
      <w:tr>
        <w:tc>
          <w:tcPr>
            <w:tcW w:type="dxa" w:w="2493"/>
            <w:vAlign w:val="top"/>
          </w:tcPr>
          <w:p>
            <w:r>
              <w:t>Chat Riko</w:t>
            </w:r>
          </w:p>
        </w:tc>
        <w:tc>
          <w:tcPr>
            <w:tcW w:type="dxa" w:w="2493"/>
            <w:vAlign w:val="top"/>
          </w:tcPr>
          <w:p>
            <w:r>
              <w:t>Signal-Export Peukert</w:t>
            </w:r>
          </w:p>
        </w:tc>
        <w:tc>
          <w:tcPr>
            <w:tcW w:type="dxa" w:w="2493"/>
            <w:vAlign w:val="top"/>
          </w:tcPr>
          <w:p>
            <w:r>
              <w:t>Provision und Kontodaten</w:t>
            </w:r>
          </w:p>
        </w:tc>
        <w:tc>
          <w:tcPr>
            <w:tcW w:type="dxa" w:w="2493"/>
            <w:vAlign w:val="top"/>
          </w:tcPr>
          <w:p>
            <w:r>
              <w:t>keine Phishing-Anleitung</w:t>
            </w:r>
          </w:p>
        </w:tc>
      </w:tr>
      <w:tr>
        <w:tc>
          <w:tcPr>
            <w:tcW w:type="dxa" w:w="2493"/>
            <w:vAlign w:val="top"/>
          </w:tcPr>
          <w:p>
            <w:r>
              <w:t>Providerauskunft</w:t>
            </w:r>
          </w:p>
        </w:tc>
        <w:tc>
          <w:tcPr>
            <w:tcW w:type="dxa" w:w="2493"/>
            <w:vAlign w:val="top"/>
          </w:tcPr>
          <w:p>
            <w:r>
              <w:t>Hoster Tallinn</w:t>
            </w:r>
          </w:p>
        </w:tc>
        <w:tc>
          <w:tcPr>
            <w:tcW w:type="dxa" w:w="2493"/>
            <w:vAlign w:val="top"/>
          </w:tcPr>
          <w:p>
            <w:r>
              <w:t>Phishingdomain aktiv</w:t>
            </w:r>
          </w:p>
        </w:tc>
        <w:tc>
          <w:tcPr>
            <w:tcW w:type="dxa" w:w="2493"/>
            <w:vAlign w:val="top"/>
          </w:tcPr>
          <w:p>
            <w:r>
              <w:t>Logzeitzone unklar</w:t>
            </w:r>
          </w:p>
        </w:tc>
      </w:tr>
      <w:tr>
        <w:tc>
          <w:tcPr>
            <w:tcW w:type="dxa" w:w="2493"/>
            <w:vAlign w:val="top"/>
          </w:tcPr>
          <w:p>
            <w:r>
              <w:t>Kontobewegungen</w:t>
            </w:r>
          </w:p>
        </w:tc>
        <w:tc>
          <w:tcPr>
            <w:tcW w:type="dxa" w:w="2493"/>
            <w:vAlign w:val="top"/>
          </w:tcPr>
          <w:p>
            <w:r>
              <w:t>Konto Peukert</w:t>
            </w:r>
          </w:p>
        </w:tc>
        <w:tc>
          <w:tcPr>
            <w:tcW w:type="dxa" w:w="2493"/>
            <w:vAlign w:val="top"/>
          </w:tcPr>
          <w:p>
            <w:r>
              <w:t>Zufluss und Abhebung</w:t>
            </w:r>
          </w:p>
        </w:tc>
        <w:tc>
          <w:tcPr>
            <w:tcW w:type="dxa" w:w="2493"/>
            <w:vAlign w:val="top"/>
          </w:tcPr>
          <w:p>
            <w:r>
              <w:t>Weiterleitungsempfänger unbekannt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263a StGB</w:t>
      </w:r>
    </w:p>
    <w:p>
      <w:pPr>
        <w:pStyle w:val="ListBullet"/>
      </w:pPr>
      <w:r>
        <w:t>Paragraf 261 StGB</w:t>
      </w:r>
    </w:p>
    <w:p>
      <w:pPr>
        <w:pStyle w:val="ListBullet"/>
      </w:pPr>
      <w:r>
        <w:t>Paragraf 73 StGB</w:t>
      </w:r>
    </w:p>
    <w:p>
      <w:pPr>
        <w:pStyle w:val="ListBullet"/>
      </w:pPr>
      <w:r>
        <w:t>Paragraf 100g StPO</w:t>
      </w:r>
    </w:p>
    <w:p>
      <w:pPr>
        <w:pStyle w:val="ListBullet"/>
      </w:pPr>
      <w:r>
        <w:t>Paragraf 110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