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Ermittlungsakte Auszüge und Beweislage</w:t>
      </w:r>
    </w:p>
    <w:p>
      <w:r>
        <w:rPr>
          <w:i/>
          <w:sz w:val="20"/>
        </w:rPr>
        <w:t>Amtsgericht Dresden, Strafrichter Abteilung 238 | Staatsanwaltschaft Dresden, 238 Js 9064/26</w:t>
      </w:r>
    </w:p>
    <w:p>
      <w:pPr>
        <w:pStyle w:val="Heading2"/>
      </w:pPr>
      <w:r>
        <w:t>Aktenauszug</w:t>
      </w:r>
    </w:p>
    <w:p>
      <w:pPr>
        <w:spacing w:after="120" w:line="259" w:lineRule="auto"/>
      </w:pPr>
      <w:r>
        <w:t>Staatsanwaltschaft Dresden, 238 Js 9064/26 führt die Sache derzeit mit Schwerpunkt auf: Körperverletzung nach Paragraf 223 StGB; gefährliche Körperverletzung nach Paragraf 224 StGB wegen Glasflasche als Tatmittel; Bedrohung und Nachstellung als Begleitprüfung.</w:t>
      </w:r>
    </w:p>
    <w:p>
      <w:pPr>
        <w:spacing w:after="120" w:line="259" w:lineRule="auto"/>
      </w:pPr>
      <w:r>
        <w:t>Die Ermittlungsakte enthält bereits mehrere belastende Indizien, aber bei einzelnen Beweismitteln fehlen Rohdaten, Sicherungsvermerke oder Anschlussvernehmungen.</w:t>
      </w:r>
    </w:p>
    <w:p>
      <w:pPr>
        <w:spacing w:after="120" w:line="259" w:lineRule="auto"/>
      </w:pPr>
      <w:r>
        <w:t>Für eine gerichtsfeste Bearbeitung müssen Blattstellen, Dateiherkunft und Beweisrichtung nachgetragen werden. Jede spätere Stellungnahme sollte sichtbar machen, was bewiesen ist, was nur behauptet wird und was noch aufgeklärt werden muss.</w:t>
      </w:r>
    </w:p>
    <w:p>
      <w:pPr>
        <w:pStyle w:val="Heading2"/>
      </w:pPr>
      <w:r>
        <w:t>Beweismittelübersicht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Spalte 1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2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3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4</w:t>
            </w:r>
          </w:p>
        </w:tc>
      </w:tr>
      <w:tr>
        <w:tc>
          <w:tcPr>
            <w:tcW w:type="dxa" w:w="2493"/>
            <w:vAlign w:val="top"/>
          </w:tcPr>
          <w:p>
            <w:r>
              <w:t>Ärztlicher Befund</w:t>
            </w:r>
          </w:p>
        </w:tc>
        <w:tc>
          <w:tcPr>
            <w:tcW w:type="dxa" w:w="2493"/>
            <w:vAlign w:val="top"/>
          </w:tcPr>
          <w:p>
            <w:r>
              <w:t>Notaufnahme Friedrichstadt</w:t>
            </w:r>
          </w:p>
        </w:tc>
        <w:tc>
          <w:tcPr>
            <w:tcW w:type="dxa" w:w="2493"/>
            <w:vAlign w:val="top"/>
          </w:tcPr>
          <w:p>
            <w:r>
              <w:t>Hämatome und Schnittverletzung</w:t>
            </w:r>
          </w:p>
        </w:tc>
        <w:tc>
          <w:tcPr>
            <w:tcW w:type="dxa" w:w="2493"/>
            <w:vAlign w:val="top"/>
          </w:tcPr>
          <w:p>
            <w:r>
              <w:t>keine sichere Aussage zum genauen Werkzeug</w:t>
            </w:r>
          </w:p>
        </w:tc>
      </w:tr>
      <w:tr>
        <w:tc>
          <w:tcPr>
            <w:tcW w:type="dxa" w:w="2493"/>
            <w:vAlign w:val="top"/>
          </w:tcPr>
          <w:p>
            <w:r>
              <w:t>Polizeifotos</w:t>
            </w:r>
          </w:p>
        </w:tc>
        <w:tc>
          <w:tcPr>
            <w:tcW w:type="dxa" w:w="2493"/>
            <w:vAlign w:val="top"/>
          </w:tcPr>
          <w:p>
            <w:r>
              <w:t>Einsatzakte PRev Nord</w:t>
            </w:r>
          </w:p>
        </w:tc>
        <w:tc>
          <w:tcPr>
            <w:tcW w:type="dxa" w:w="2493"/>
            <w:vAlign w:val="top"/>
          </w:tcPr>
          <w:p>
            <w:r>
              <w:t>Scherbenbild und Blutspuren</w:t>
            </w:r>
          </w:p>
        </w:tc>
        <w:tc>
          <w:tcPr>
            <w:tcW w:type="dxa" w:w="2493"/>
            <w:vAlign w:val="top"/>
          </w:tcPr>
          <w:p>
            <w:r>
              <w:t>keine Sequenz der Handlung</w:t>
            </w:r>
          </w:p>
        </w:tc>
      </w:tr>
      <w:tr>
        <w:tc>
          <w:tcPr>
            <w:tcW w:type="dxa" w:w="2493"/>
            <w:vAlign w:val="top"/>
          </w:tcPr>
          <w:p>
            <w:r>
              <w:t>Nachbarin Elena Maas</w:t>
            </w:r>
          </w:p>
        </w:tc>
        <w:tc>
          <w:tcPr>
            <w:tcW w:type="dxa" w:w="2493"/>
            <w:vAlign w:val="top"/>
          </w:tcPr>
          <w:p>
            <w:r>
              <w:t>Wohnung gegenüber</w:t>
            </w:r>
          </w:p>
        </w:tc>
        <w:tc>
          <w:tcPr>
            <w:tcW w:type="dxa" w:w="2493"/>
            <w:vAlign w:val="top"/>
          </w:tcPr>
          <w:p>
            <w:r>
              <w:t>Schreie und Satz: Lass mich raus</w:t>
            </w:r>
          </w:p>
        </w:tc>
        <w:tc>
          <w:tcPr>
            <w:tcW w:type="dxa" w:w="2493"/>
            <w:vAlign w:val="top"/>
          </w:tcPr>
          <w:p>
            <w:r>
              <w:t>keine Sicht auf den Flur</w:t>
            </w:r>
          </w:p>
        </w:tc>
      </w:tr>
      <w:tr>
        <w:tc>
          <w:tcPr>
            <w:tcW w:type="dxa" w:w="2493"/>
            <w:vAlign w:val="top"/>
          </w:tcPr>
          <w:p>
            <w:r>
              <w:t>Chatverlauf</w:t>
            </w:r>
          </w:p>
        </w:tc>
        <w:tc>
          <w:tcPr>
            <w:tcW w:type="dxa" w:w="2493"/>
            <w:vAlign w:val="top"/>
          </w:tcPr>
          <w:p>
            <w:r>
              <w:t>WhatsApp 02. bis 05.06.2026</w:t>
            </w:r>
          </w:p>
        </w:tc>
        <w:tc>
          <w:tcPr>
            <w:tcW w:type="dxa" w:w="2493"/>
            <w:vAlign w:val="top"/>
          </w:tcPr>
          <w:p>
            <w:r>
              <w:t>Drohende Nachrichten nach Einsatz</w:t>
            </w:r>
          </w:p>
        </w:tc>
        <w:tc>
          <w:tcPr>
            <w:tcW w:type="dxa" w:w="2493"/>
            <w:vAlign w:val="top"/>
          </w:tcPr>
          <w:p>
            <w:r>
              <w:t>Kontext vorheriger Trennung streitig</w:t>
            </w:r>
          </w:p>
        </w:tc>
      </w:tr>
      <w:tr>
        <w:tc>
          <w:tcPr>
            <w:tcW w:type="dxa" w:w="2493"/>
            <w:vAlign w:val="top"/>
          </w:tcPr>
          <w:p>
            <w:r>
              <w:t>Beschuldigteneinlassung</w:t>
            </w:r>
          </w:p>
        </w:tc>
        <w:tc>
          <w:tcPr>
            <w:tcW w:type="dxa" w:w="2493"/>
            <w:vAlign w:val="top"/>
          </w:tcPr>
          <w:p>
            <w:r>
              <w:t>Schreiben Verteidiger</w:t>
            </w:r>
          </w:p>
        </w:tc>
        <w:tc>
          <w:tcPr>
            <w:tcW w:type="dxa" w:w="2493"/>
            <w:vAlign w:val="top"/>
          </w:tcPr>
          <w:p>
            <w:r>
              <w:t>alternative Verletzungsursache</w:t>
            </w:r>
          </w:p>
        </w:tc>
        <w:tc>
          <w:tcPr>
            <w:tcW w:type="dxa" w:w="2493"/>
            <w:vAlign w:val="top"/>
          </w:tcPr>
          <w:p>
            <w:r>
              <w:t>widersprüchlich zur Scherbenposition</w:t>
            </w:r>
          </w:p>
        </w:tc>
      </w:tr>
    </w:tbl>
    <w:p/>
    <w:p>
      <w:pPr>
        <w:pStyle w:val="Heading2"/>
      </w:pPr>
      <w:r>
        <w:t>Normanker</w:t>
      </w:r>
    </w:p>
    <w:p>
      <w:pPr>
        <w:pStyle w:val="ListBullet"/>
      </w:pPr>
      <w:r>
        <w:t>Paragraf 223 StGB</w:t>
      </w:r>
    </w:p>
    <w:p>
      <w:pPr>
        <w:pStyle w:val="ListBullet"/>
      </w:pPr>
      <w:r>
        <w:t>Paragraf 224 StGB</w:t>
      </w:r>
    </w:p>
    <w:p>
      <w:pPr>
        <w:pStyle w:val="ListBullet"/>
      </w:pPr>
      <w:r>
        <w:t>Paragraf 238 StGB</w:t>
      </w:r>
    </w:p>
    <w:p>
      <w:pPr>
        <w:pStyle w:val="ListBullet"/>
      </w:pPr>
      <w:r>
        <w:t>Paragraf 406h StPO</w:t>
      </w:r>
    </w:p>
    <w:p>
      <w:pPr>
        <w:pStyle w:val="ListBullet"/>
      </w:pPr>
      <w:r>
        <w:t>Gewaltschutzverfahren als Nebenstrecke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