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Dresden, Strafrichter Abteilung 238 | Staatsanwaltschaft Dresden, 238 Js 9064/26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spacing w:after="120" w:line="259" w:lineRule="auto"/>
      </w:pPr>
      <w:r>
        <w:t>Normanker: Paragraf 223 StGB, Paragraf 224 StGB, Paragraf 238 StGB, Paragraf 406h StPO, Gewaltschutzverfahren als Nebenstrecke.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Nebenklagefähige Aktenauswertung, Schutzantragsentwurf und Beweisanregung zur Sicherung der Originalfotos sowie der Funkstreifenwagen-Bodycam-Metadaten.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