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Amtsgericht Dresden, Strafrichter Abteilung 238 | Staatsanwaltschaft Dresden, 238 Js 9064/26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Nebenklagefähige Aktenauswertung, Schutzantragsentwurf und Beweisanregung zur Sicherung der Originalfotos sowie der Funkstreifenwagen-Bodycam-Metadaten.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Dresden, 238 Js 9064/26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