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Hamburg, Jugendrichterin Abteilung 611 | Staatsanwaltschaft Hamburg, Jugenddezernat 144 Js 2231/26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Hamburg, Jugenddezernat 144 Js 2231/26 führt die Sache derzeit mit Schwerpunkt auf: Raubvorwurf nach Paragraf 249 StGB; gefährliche Drohung mit Cutter als Strafzumessungskern; Prüfung Jugendstrafrecht und Erziehungsbedarf.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Handyortung</w:t>
            </w:r>
          </w:p>
        </w:tc>
        <w:tc>
          <w:tcPr>
            <w:tcW w:type="dxa" w:w="2493"/>
            <w:vAlign w:val="top"/>
          </w:tcPr>
          <w:p>
            <w:r>
              <w:t>iCloud-Ortung 12.05.2026 16:18 Uhr</w:t>
            </w:r>
          </w:p>
        </w:tc>
        <w:tc>
          <w:tcPr>
            <w:tcW w:type="dxa" w:w="2493"/>
            <w:vAlign w:val="top"/>
          </w:tcPr>
          <w:p>
            <w:r>
              <w:t>belastet Besitz des Handys</w:t>
            </w:r>
          </w:p>
        </w:tc>
        <w:tc>
          <w:tcPr>
            <w:tcW w:type="dxa" w:w="2493"/>
            <w:vAlign w:val="top"/>
          </w:tcPr>
          <w:p>
            <w:r>
              <w:t>sagt nichts zur Drohung</w:t>
            </w:r>
          </w:p>
        </w:tc>
      </w:tr>
      <w:tr>
        <w:tc>
          <w:tcPr>
            <w:tcW w:type="dxa" w:w="2493"/>
            <w:vAlign w:val="top"/>
          </w:tcPr>
          <w:p>
            <w:r>
              <w:t>Schulvideo</w:t>
            </w:r>
          </w:p>
        </w:tc>
        <w:tc>
          <w:tcPr>
            <w:tcW w:type="dxa" w:w="2493"/>
            <w:vAlign w:val="top"/>
          </w:tcPr>
          <w:p>
            <w:r>
              <w:t>Kamera Flur Süd, kein Ton, 18 Sekunden</w:t>
            </w:r>
          </w:p>
        </w:tc>
        <w:tc>
          <w:tcPr>
            <w:tcW w:type="dxa" w:w="2493"/>
            <w:vAlign w:val="top"/>
          </w:tcPr>
          <w:p>
            <w:r>
              <w:t>zeigt Weglaufen</w:t>
            </w:r>
          </w:p>
        </w:tc>
        <w:tc>
          <w:tcPr>
            <w:tcW w:type="dxa" w:w="2493"/>
            <w:vAlign w:val="top"/>
          </w:tcPr>
          <w:p>
            <w:r>
              <w:t>zeigt keinen Cutter</w:t>
            </w:r>
          </w:p>
        </w:tc>
      </w:tr>
      <w:tr>
        <w:tc>
          <w:tcPr>
            <w:tcW w:type="dxa" w:w="2493"/>
            <w:vAlign w:val="top"/>
          </w:tcPr>
          <w:p>
            <w:r>
              <w:t>Zeuge Finn Jansen</w:t>
            </w:r>
          </w:p>
        </w:tc>
        <w:tc>
          <w:tcPr>
            <w:tcW w:type="dxa" w:w="2493"/>
            <w:vAlign w:val="top"/>
          </w:tcPr>
          <w:p>
            <w:r>
              <w:t>Geschädigter</w:t>
            </w:r>
          </w:p>
        </w:tc>
        <w:tc>
          <w:tcPr>
            <w:tcW w:type="dxa" w:w="2493"/>
            <w:vAlign w:val="top"/>
          </w:tcPr>
          <w:p>
            <w:r>
              <w:t>klare Drohungsschilderung</w:t>
            </w:r>
          </w:p>
        </w:tc>
        <w:tc>
          <w:tcPr>
            <w:tcW w:type="dxa" w:w="2493"/>
            <w:vAlign w:val="top"/>
          </w:tcPr>
          <w:p>
            <w:r>
              <w:t>Widerspruch zur Entfernung und zum Blickwinkel</w:t>
            </w:r>
          </w:p>
        </w:tc>
      </w:tr>
      <w:tr>
        <w:tc>
          <w:tcPr>
            <w:tcW w:type="dxa" w:w="2493"/>
            <w:vAlign w:val="top"/>
          </w:tcPr>
          <w:p>
            <w:r>
              <w:t>Zeugin Noura Haddad</w:t>
            </w:r>
          </w:p>
        </w:tc>
        <w:tc>
          <w:tcPr>
            <w:tcW w:type="dxa" w:w="2493"/>
            <w:vAlign w:val="top"/>
          </w:tcPr>
          <w:p>
            <w:r>
              <w:t>Mitschülerin</w:t>
            </w:r>
          </w:p>
        </w:tc>
        <w:tc>
          <w:tcPr>
            <w:tcW w:type="dxa" w:w="2493"/>
            <w:vAlign w:val="top"/>
          </w:tcPr>
          <w:p>
            <w:r>
              <w:t>bestätigt Streit</w:t>
            </w:r>
          </w:p>
        </w:tc>
        <w:tc>
          <w:tcPr>
            <w:tcW w:type="dxa" w:w="2493"/>
            <w:vAlign w:val="top"/>
          </w:tcPr>
          <w:p>
            <w:r>
              <w:t>hat nur Schlüsselbund gesehen</w:t>
            </w:r>
          </w:p>
        </w:tc>
      </w:tr>
      <w:tr>
        <w:tc>
          <w:tcPr>
            <w:tcW w:type="dxa" w:w="2493"/>
            <w:vAlign w:val="top"/>
          </w:tcPr>
          <w:p>
            <w:r>
              <w:t>Jugendgerichtshilfe</w:t>
            </w:r>
          </w:p>
        </w:tc>
        <w:tc>
          <w:tcPr>
            <w:tcW w:type="dxa" w:w="2493"/>
            <w:vAlign w:val="top"/>
          </w:tcPr>
          <w:p>
            <w:r>
              <w:t>Hausbesuchsvermerk</w:t>
            </w:r>
          </w:p>
        </w:tc>
        <w:tc>
          <w:tcPr>
            <w:tcW w:type="dxa" w:w="2493"/>
            <w:vAlign w:val="top"/>
          </w:tcPr>
          <w:p>
            <w:r>
              <w:t>Schulversäumnisse</w:t>
            </w:r>
          </w:p>
        </w:tc>
        <w:tc>
          <w:tcPr>
            <w:tcW w:type="dxa" w:w="2493"/>
            <w:vAlign w:val="top"/>
          </w:tcPr>
          <w:p>
            <w:r>
              <w:t>Familiensupport und Trainingsbereitschaft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249 StGB</w:t>
      </w:r>
    </w:p>
    <w:p>
      <w:pPr>
        <w:pStyle w:val="ListBullet"/>
      </w:pPr>
      <w:r>
        <w:t>Paragraf 52 StGB</w:t>
      </w:r>
    </w:p>
    <w:p>
      <w:pPr>
        <w:pStyle w:val="ListBullet"/>
      </w:pPr>
      <w:r>
        <w:t>Paragraf 68 JGG</w:t>
      </w:r>
    </w:p>
    <w:p>
      <w:pPr>
        <w:pStyle w:val="ListBullet"/>
      </w:pPr>
      <w:r>
        <w:t>Paragraf 45 JGG</w:t>
      </w:r>
    </w:p>
    <w:p>
      <w:pPr>
        <w:pStyle w:val="ListBullet"/>
      </w:pPr>
      <w:r>
        <w:t>Paragraf 47 JGG</w:t>
      </w:r>
    </w:p>
    <w:p>
      <w:pPr>
        <w:pStyle w:val="ListBullet"/>
      </w:pPr>
      <w:r>
        <w:t>Paragraf 140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