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Mandatsnotiz Erstgespräch</w:t>
      </w:r>
    </w:p>
    <w:p>
      <w:r>
        <w:rPr>
          <w:i/>
          <w:sz w:val="20"/>
        </w:rPr>
        <w:t>Landgericht München I, Wirtschaftsstrafkammer 6 | Staatsanwaltschaft München I, 6 Js 9940/26</w:t>
      </w:r>
    </w:p>
    <w:p>
      <w:pPr>
        <w:pStyle w:val="Heading2"/>
      </w:pPr>
      <w:r>
        <w:t>Mandatsziel</w:t>
      </w:r>
    </w:p>
    <w:p>
      <w:pPr>
        <w:spacing w:after="120" w:line="259" w:lineRule="auto"/>
      </w:pPr>
      <w:r>
        <w:t>Markus Eberl, Stadtoberinspektor in der Vergabestelle benötigt eine schnelle, aber belastbare Einordnung der Lage. Der erste Schritt ist kein Rundumschlag, sondern die Sicherung der fristkritischen Punkte, die Trennung der Rollen und die Entscheidung, ob geschwiegen, vorgetragen oder ein Antrag gestellt wird.</w:t>
      </w:r>
    </w:p>
    <w:p>
      <w:pPr>
        <w:pStyle w:val="Heading2"/>
      </w:pPr>
      <w:r>
        <w:t>Sofortfragen</w:t>
      </w:r>
    </w:p>
    <w:p>
      <w:pPr>
        <w:pStyle w:val="ListBullet"/>
      </w:pPr>
      <w:r>
        <w:t>Welche Frist läuft tatsächlich und wodurch wurde sie ausgelöst?</w:t>
      </w:r>
    </w:p>
    <w:p>
      <w:pPr>
        <w:pStyle w:val="ListBullet"/>
      </w:pPr>
      <w:r>
        <w:t>Welche Originaldaten fehlen noch und wer besitzt sie?</w:t>
      </w:r>
    </w:p>
    <w:p>
      <w:pPr>
        <w:pStyle w:val="ListBullet"/>
      </w:pPr>
      <w:r>
        <w:t>Welche Einlassung ist bereits aktenkundig oder faktisch erfolgt?</w:t>
      </w:r>
    </w:p>
    <w:p>
      <w:pPr>
        <w:pStyle w:val="ListBullet"/>
      </w:pPr>
      <w:r>
        <w:t>Welche Nebenfolge droht sofort praktisch zu wirken?</w:t>
      </w:r>
    </w:p>
    <w:p>
      <w:pPr>
        <w:spacing w:after="120" w:line="259" w:lineRule="auto"/>
      </w:pPr>
      <w:r>
        <w:t>Vergabematrix technisch nachrechnen, Vorteilsliste bewerten, dienstliche Zuständigkeit sauber abgrenzen und Stellungnahme ohne vorschnelle Freundschaftsrhetorik vorbereiten.</w:t>
      </w:r>
    </w:p>
    <w:p>
      <w:pPr>
        <w:pStyle w:val="Heading2"/>
      </w:pPr>
      <w:r>
        <w:t>Beteiligte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Punkt</w:t>
            </w:r>
          </w:p>
        </w:tc>
        <w:tc>
          <w:tcPr>
            <w:tcW w:type="dxa" w:w="4986"/>
          </w:tcPr>
          <w:p>
            <w:r>
              <w:rPr>
                <w:b/>
              </w:rPr>
              <w:t>Inhalt</w:t>
            </w:r>
          </w:p>
        </w:tc>
      </w:tr>
      <w:tr>
        <w:tc>
          <w:tcPr>
            <w:tcW w:type="dxa" w:w="4986"/>
            <w:vAlign w:val="top"/>
          </w:tcPr>
          <w:p>
            <w:r>
              <w:t>Beschuldigte oder betroffene Person</w:t>
            </w:r>
          </w:p>
        </w:tc>
        <w:tc>
          <w:tcPr>
            <w:tcW w:type="dxa" w:w="4986"/>
            <w:vAlign w:val="top"/>
          </w:tcPr>
          <w:p>
            <w:r>
              <w:t>Markus Eberl</w:t>
            </w:r>
          </w:p>
        </w:tc>
      </w:tr>
      <w:tr>
        <w:tc>
          <w:tcPr>
            <w:tcW w:type="dxa" w:w="4986"/>
            <w:vAlign w:val="top"/>
          </w:tcPr>
          <w:p>
            <w:r>
              <w:t>Mandatsbezug</w:t>
            </w:r>
          </w:p>
        </w:tc>
        <w:tc>
          <w:tcPr>
            <w:tcW w:type="dxa" w:w="4986"/>
            <w:vAlign w:val="top"/>
          </w:tcPr>
          <w:p>
            <w:r>
              <w:t>Markus Eberl, Stadtoberinspektor in der Vergabestelle</w:t>
            </w:r>
          </w:p>
        </w:tc>
      </w:tr>
      <w:tr>
        <w:tc>
          <w:tcPr>
            <w:tcW w:type="dxa" w:w="4986"/>
            <w:vAlign w:val="top"/>
          </w:tcPr>
          <w:p>
            <w:r>
              <w:t>Gericht</w:t>
            </w:r>
          </w:p>
        </w:tc>
        <w:tc>
          <w:tcPr>
            <w:tcW w:type="dxa" w:w="4986"/>
            <w:vAlign w:val="top"/>
          </w:tcPr>
          <w:p>
            <w:r>
              <w:t>Landgericht München I, Wirtschaftsstrafkammer 6</w:t>
            </w:r>
          </w:p>
        </w:tc>
      </w:tr>
      <w:tr>
        <w:tc>
          <w:tcPr>
            <w:tcW w:type="dxa" w:w="4986"/>
            <w:vAlign w:val="top"/>
          </w:tcPr>
          <w:p>
            <w:r>
              <w:t>Staatsanwaltschaft</w:t>
            </w:r>
          </w:p>
        </w:tc>
        <w:tc>
          <w:tcPr>
            <w:tcW w:type="dxa" w:w="4986"/>
            <w:vAlign w:val="top"/>
          </w:tcPr>
          <w:p>
            <w:r>
              <w:t>Staatsanwaltschaft München I, 6 Js 9940/26</w:t>
            </w:r>
          </w:p>
        </w:tc>
      </w:tr>
      <w:tr>
        <w:tc>
          <w:tcPr>
            <w:tcW w:type="dxa" w:w="4986"/>
            <w:vAlign w:val="top"/>
          </w:tcPr>
          <w:p>
            <w:r>
              <w:t>Verteidigung oder Vertretung</w:t>
            </w:r>
          </w:p>
        </w:tc>
        <w:tc>
          <w:tcPr>
            <w:tcW w:type="dxa" w:w="4986"/>
            <w:vAlign w:val="top"/>
          </w:tcPr>
          <w:p>
            <w:r>
              <w:t>RA Dr. Livia Sauter, München</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